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1" w:rsidRPr="00F35A61" w:rsidRDefault="00F35A61">
      <w:pPr>
        <w:rPr>
          <w:rFonts w:ascii="Arial" w:hAnsi="Arial"/>
          <w:b/>
          <w:sz w:val="22"/>
          <w:szCs w:val="22"/>
          <w:lang w:val="en-US"/>
        </w:rPr>
      </w:pPr>
      <w:bookmarkStart w:id="0" w:name="_GoBack"/>
      <w:bookmarkEnd w:id="0"/>
      <w:r>
        <w:rPr>
          <w:rFonts w:ascii="Arial" w:hAnsi="Arial"/>
          <w:b/>
          <w:sz w:val="22"/>
          <w:szCs w:val="22"/>
          <w:lang w:val="en-US"/>
        </w:rPr>
        <w:t>Statement and Question Codes</w:t>
      </w:r>
      <w:r w:rsidRPr="00F35A61">
        <w:rPr>
          <w:rFonts w:ascii="Arial" w:hAnsi="Arial"/>
          <w:b/>
          <w:sz w:val="22"/>
          <w:szCs w:val="22"/>
          <w:lang w:val="en-US"/>
        </w:rPr>
        <w:t xml:space="preserve"> </w:t>
      </w:r>
      <w:r>
        <w:rPr>
          <w:rFonts w:ascii="Arial" w:hAnsi="Arial"/>
          <w:b/>
          <w:sz w:val="22"/>
          <w:szCs w:val="22"/>
          <w:lang w:val="en-US"/>
        </w:rPr>
        <w:t>for "</w:t>
      </w:r>
      <w:r w:rsidRPr="00F35A61">
        <w:rPr>
          <w:rFonts w:ascii="Arial" w:hAnsi="Arial"/>
          <w:b/>
          <w:sz w:val="22"/>
          <w:szCs w:val="22"/>
          <w:lang w:val="en-US"/>
        </w:rPr>
        <w:t xml:space="preserve">Guidelines for Management of Bone Health in </w:t>
      </w:r>
      <w:proofErr w:type="spellStart"/>
      <w:r w:rsidRPr="00F35A61">
        <w:rPr>
          <w:rFonts w:ascii="Arial" w:hAnsi="Arial"/>
          <w:b/>
          <w:sz w:val="22"/>
          <w:szCs w:val="22"/>
          <w:lang w:val="en-US"/>
        </w:rPr>
        <w:t>Rett</w:t>
      </w:r>
      <w:proofErr w:type="spellEnd"/>
      <w:r w:rsidRPr="00F35A61">
        <w:rPr>
          <w:rFonts w:ascii="Arial" w:hAnsi="Arial"/>
          <w:b/>
          <w:sz w:val="22"/>
          <w:szCs w:val="22"/>
          <w:lang w:val="en-US"/>
        </w:rPr>
        <w:t xml:space="preserve"> Syndrome Based on Expert Consensus and Available Evidence</w:t>
      </w:r>
      <w:r>
        <w:rPr>
          <w:rFonts w:ascii="Arial" w:hAnsi="Arial"/>
          <w:b/>
          <w:sz w:val="22"/>
          <w:szCs w:val="22"/>
          <w:lang w:val="en-US"/>
        </w:rPr>
        <w:t>"</w:t>
      </w:r>
    </w:p>
    <w:tbl>
      <w:tblPr>
        <w:tblStyle w:val="TableGrid"/>
        <w:tblW w:w="10207" w:type="dxa"/>
        <w:tblInd w:w="-743" w:type="dxa"/>
        <w:tblLook w:val="00A0" w:firstRow="1" w:lastRow="0" w:firstColumn="1" w:lastColumn="0" w:noHBand="0" w:noVBand="0"/>
      </w:tblPr>
      <w:tblGrid>
        <w:gridCol w:w="3119"/>
        <w:gridCol w:w="7088"/>
      </w:tblGrid>
      <w:tr w:rsidR="00FB2040" w:rsidRPr="00FB2040" w:rsidTr="00FB2040">
        <w:tc>
          <w:tcPr>
            <w:tcW w:w="10207" w:type="dxa"/>
            <w:gridSpan w:val="2"/>
            <w:shd w:val="clear" w:color="auto" w:fill="FFCC99"/>
          </w:tcPr>
          <w:p w:rsidR="00FB2040" w:rsidRDefault="00FB2040" w:rsidP="00FB2040">
            <w:pPr>
              <w:jc w:val="center"/>
              <w:rPr>
                <w:rFonts w:ascii="Arial" w:hAnsi="Arial"/>
                <w:b/>
              </w:rPr>
            </w:pPr>
          </w:p>
          <w:p w:rsidR="00FB2040" w:rsidRDefault="00FB2040" w:rsidP="00FB2040">
            <w:pPr>
              <w:jc w:val="center"/>
              <w:rPr>
                <w:rFonts w:ascii="Arial" w:hAnsi="Arial"/>
                <w:b/>
              </w:rPr>
            </w:pPr>
            <w:r w:rsidRPr="00FB2040">
              <w:rPr>
                <w:rFonts w:ascii="Arial" w:hAnsi="Arial"/>
                <w:b/>
              </w:rPr>
              <w:t>ROUND 1</w:t>
            </w:r>
          </w:p>
          <w:p w:rsidR="00FB2040" w:rsidRPr="00FB2040" w:rsidRDefault="00FB2040" w:rsidP="00FB2040">
            <w:pPr>
              <w:jc w:val="center"/>
              <w:rPr>
                <w:rFonts w:ascii="Arial" w:hAnsi="Arial"/>
                <w:b/>
              </w:rPr>
            </w:pPr>
          </w:p>
        </w:tc>
      </w:tr>
      <w:tr w:rsidR="00E7633E" w:rsidRPr="00FB2040" w:rsidTr="00FB2040">
        <w:tc>
          <w:tcPr>
            <w:tcW w:w="3119"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Statement/Question Code</w:t>
            </w:r>
          </w:p>
        </w:tc>
        <w:tc>
          <w:tcPr>
            <w:tcW w:w="7088"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Statements and Questions Round 1, Part A, Section 1 (PAS1)</w:t>
            </w:r>
          </w:p>
          <w:p w:rsidR="00E7633E" w:rsidRPr="00FB2040" w:rsidRDefault="00E7633E">
            <w:pPr>
              <w:rPr>
                <w:rFonts w:ascii="Arial" w:hAnsi="Arial"/>
                <w:b/>
                <w:sz w:val="22"/>
                <w:szCs w:val="22"/>
              </w:rPr>
            </w:pPr>
          </w:p>
        </w:tc>
      </w:tr>
      <w:tr w:rsidR="00E7633E" w:rsidRPr="00FB2040" w:rsidTr="00FB2040">
        <w:tc>
          <w:tcPr>
            <w:tcW w:w="3119" w:type="dxa"/>
          </w:tcPr>
          <w:p w:rsidR="00E7633E" w:rsidRPr="00FB2040" w:rsidRDefault="00E7633E" w:rsidP="00FB2040">
            <w:pPr>
              <w:ind w:left="284" w:hanging="284"/>
              <w:rPr>
                <w:rFonts w:ascii="Arial" w:hAnsi="Arial"/>
                <w:sz w:val="22"/>
                <w:szCs w:val="22"/>
              </w:rPr>
            </w:pPr>
            <w:r w:rsidRPr="00FB2040">
              <w:rPr>
                <w:rFonts w:ascii="Arial" w:hAnsi="Arial"/>
                <w:sz w:val="22"/>
                <w:szCs w:val="22"/>
              </w:rPr>
              <w:t>PAS1_Gene</w:t>
            </w:r>
          </w:p>
        </w:tc>
        <w:tc>
          <w:tcPr>
            <w:tcW w:w="7088" w:type="dxa"/>
          </w:tcPr>
          <w:p w:rsidR="00E7633E" w:rsidRPr="00FB2040" w:rsidRDefault="00E7633E">
            <w:pPr>
              <w:rPr>
                <w:rFonts w:ascii="Arial" w:hAnsi="Arial"/>
                <w:sz w:val="22"/>
                <w:szCs w:val="22"/>
              </w:rPr>
            </w:pPr>
            <w:r w:rsidRPr="00FB2040">
              <w:rPr>
                <w:rFonts w:ascii="Arial" w:hAnsi="Arial"/>
                <w:sz w:val="22"/>
                <w:szCs w:val="22"/>
                <w:lang w:bidi="en-US"/>
              </w:rPr>
              <w:t xml:space="preserve">All children with a clinical diagnosis of </w:t>
            </w:r>
            <w:proofErr w:type="spellStart"/>
            <w:r w:rsidRPr="00FB2040">
              <w:rPr>
                <w:rFonts w:ascii="Arial" w:hAnsi="Arial"/>
                <w:sz w:val="22"/>
                <w:szCs w:val="22"/>
                <w:lang w:bidi="en-US"/>
              </w:rPr>
              <w:t>Rett</w:t>
            </w:r>
            <w:proofErr w:type="spellEnd"/>
            <w:r w:rsidRPr="00FB2040">
              <w:rPr>
                <w:rFonts w:ascii="Arial" w:hAnsi="Arial"/>
                <w:sz w:val="22"/>
                <w:szCs w:val="22"/>
                <w:lang w:bidi="en-US"/>
              </w:rPr>
              <w:t xml:space="preserve"> syndrome should undergo genetic testing as genotype may influence the development and management of osteoporosis.</w:t>
            </w:r>
          </w:p>
        </w:tc>
      </w:tr>
      <w:tr w:rsidR="00E7633E" w:rsidRPr="00FB2040" w:rsidTr="00FB2040">
        <w:tc>
          <w:tcPr>
            <w:tcW w:w="3119" w:type="dxa"/>
          </w:tcPr>
          <w:p w:rsidR="00E7633E" w:rsidRPr="00FB2040" w:rsidRDefault="00E7633E" w:rsidP="00FB2040">
            <w:pPr>
              <w:rPr>
                <w:rFonts w:ascii="Arial" w:hAnsi="Arial" w:cs="Verdana"/>
                <w:sz w:val="22"/>
                <w:szCs w:val="22"/>
              </w:rPr>
            </w:pPr>
            <w:r w:rsidRPr="00FB2040">
              <w:rPr>
                <w:rFonts w:ascii="Arial" w:hAnsi="Arial" w:cs="Verdana"/>
                <w:sz w:val="22"/>
                <w:szCs w:val="22"/>
              </w:rPr>
              <w:t>PAS1_Fracture</w:t>
            </w:r>
          </w:p>
        </w:tc>
        <w:tc>
          <w:tcPr>
            <w:tcW w:w="7088" w:type="dxa"/>
          </w:tcPr>
          <w:p w:rsidR="00E7633E" w:rsidRPr="00FB2040" w:rsidRDefault="00E7633E">
            <w:pPr>
              <w:rPr>
                <w:rFonts w:ascii="Arial" w:hAnsi="Arial"/>
                <w:sz w:val="22"/>
                <w:szCs w:val="22"/>
              </w:rPr>
            </w:pPr>
            <w:r w:rsidRPr="00FB2040">
              <w:rPr>
                <w:rFonts w:ascii="Arial" w:hAnsi="Arial" w:cs="Verdana"/>
                <w:sz w:val="22"/>
                <w:szCs w:val="22"/>
                <w:lang w:bidi="en-US"/>
              </w:rPr>
              <w:t xml:space="preserve">Fractures in </w:t>
            </w:r>
            <w:proofErr w:type="spellStart"/>
            <w:r w:rsidRPr="00FB2040">
              <w:rPr>
                <w:rFonts w:ascii="Arial" w:hAnsi="Arial" w:cs="Verdana"/>
                <w:sz w:val="22"/>
                <w:szCs w:val="22"/>
                <w:lang w:bidi="en-US"/>
              </w:rPr>
              <w:t>Rett</w:t>
            </w:r>
            <w:proofErr w:type="spellEnd"/>
            <w:r w:rsidRPr="00FB2040">
              <w:rPr>
                <w:rFonts w:ascii="Arial" w:hAnsi="Arial" w:cs="Verdana"/>
                <w:sz w:val="22"/>
                <w:szCs w:val="22"/>
                <w:lang w:bidi="en-US"/>
              </w:rPr>
              <w:t xml:space="preserve"> syndrome can occur due to trivial trauma.</w:t>
            </w:r>
          </w:p>
        </w:tc>
      </w:tr>
      <w:tr w:rsidR="00E7633E" w:rsidRPr="00FB2040" w:rsidTr="00FB2040">
        <w:tc>
          <w:tcPr>
            <w:tcW w:w="3119" w:type="dxa"/>
          </w:tcPr>
          <w:p w:rsidR="00E7633E" w:rsidRPr="00FB2040" w:rsidRDefault="00E7633E" w:rsidP="00FB2040">
            <w:pPr>
              <w:rPr>
                <w:rFonts w:ascii="Arial" w:hAnsi="Arial" w:cs="Verdana"/>
                <w:sz w:val="22"/>
                <w:szCs w:val="22"/>
              </w:rPr>
            </w:pPr>
            <w:r w:rsidRPr="00FB2040">
              <w:rPr>
                <w:rFonts w:ascii="Arial" w:hAnsi="Arial" w:cs="Verdana"/>
                <w:sz w:val="22"/>
                <w:szCs w:val="22"/>
              </w:rPr>
              <w:t>PAS1_vigilant</w:t>
            </w:r>
          </w:p>
        </w:tc>
        <w:tc>
          <w:tcPr>
            <w:tcW w:w="7088" w:type="dxa"/>
          </w:tcPr>
          <w:p w:rsidR="00E7633E" w:rsidRPr="00FB2040" w:rsidRDefault="00E7633E">
            <w:pPr>
              <w:rPr>
                <w:rFonts w:ascii="Arial" w:hAnsi="Arial"/>
                <w:sz w:val="22"/>
                <w:szCs w:val="22"/>
              </w:rPr>
            </w:pPr>
            <w:r w:rsidRPr="00FB2040">
              <w:rPr>
                <w:rFonts w:ascii="Arial" w:hAnsi="Arial" w:cs="Verdana"/>
                <w:sz w:val="22"/>
                <w:szCs w:val="22"/>
                <w:lang w:bidi="en-US"/>
              </w:rPr>
              <w:t>Clinicians need to be vigilant for potential fractures.</w:t>
            </w:r>
          </w:p>
        </w:tc>
      </w:tr>
      <w:tr w:rsidR="00E7633E" w:rsidRPr="00FB2040" w:rsidTr="00FB2040">
        <w:tc>
          <w:tcPr>
            <w:tcW w:w="3119" w:type="dxa"/>
          </w:tcPr>
          <w:p w:rsidR="00E7633E" w:rsidRPr="00FB2040" w:rsidRDefault="00E7633E" w:rsidP="00FB2040">
            <w:pPr>
              <w:rPr>
                <w:rFonts w:ascii="Arial" w:hAnsi="Arial" w:cs="Verdana"/>
                <w:sz w:val="22"/>
                <w:szCs w:val="22"/>
              </w:rPr>
            </w:pPr>
            <w:r w:rsidRPr="00FB2040">
              <w:rPr>
                <w:rFonts w:ascii="Arial" w:hAnsi="Arial" w:cs="Verdana"/>
                <w:sz w:val="22"/>
                <w:szCs w:val="22"/>
              </w:rPr>
              <w:t>PAS1_BMI</w:t>
            </w:r>
          </w:p>
        </w:tc>
        <w:tc>
          <w:tcPr>
            <w:tcW w:w="7088" w:type="dxa"/>
          </w:tcPr>
          <w:p w:rsidR="00E7633E" w:rsidRPr="00FB2040" w:rsidRDefault="00E7633E">
            <w:pPr>
              <w:rPr>
                <w:rFonts w:ascii="Arial" w:hAnsi="Arial"/>
                <w:sz w:val="22"/>
                <w:szCs w:val="22"/>
              </w:rPr>
            </w:pPr>
            <w:r w:rsidRPr="00FB2040">
              <w:rPr>
                <w:rFonts w:ascii="Arial" w:hAnsi="Arial" w:cs="Verdana"/>
                <w:sz w:val="22"/>
                <w:szCs w:val="22"/>
                <w:lang w:bidi="en-US"/>
              </w:rPr>
              <w:t>Measure weight and height to calculate Body mass Index at each clinical visit.</w:t>
            </w:r>
          </w:p>
        </w:tc>
      </w:tr>
      <w:tr w:rsidR="00E7633E" w:rsidRPr="00FB2040" w:rsidTr="00FB2040">
        <w:tc>
          <w:tcPr>
            <w:tcW w:w="3119" w:type="dxa"/>
          </w:tcPr>
          <w:p w:rsidR="00E7633E" w:rsidRPr="00FB2040" w:rsidRDefault="00E7633E" w:rsidP="00FB2040">
            <w:pPr>
              <w:widowControl w:val="0"/>
              <w:autoSpaceDE w:val="0"/>
              <w:autoSpaceDN w:val="0"/>
              <w:adjustRightInd w:val="0"/>
              <w:rPr>
                <w:rFonts w:ascii="Arial" w:hAnsi="Arial" w:cs="Verdana"/>
                <w:sz w:val="22"/>
                <w:szCs w:val="22"/>
              </w:rPr>
            </w:pPr>
            <w:r w:rsidRPr="00FB2040">
              <w:rPr>
                <w:rFonts w:ascii="Arial" w:hAnsi="Arial" w:cs="Verdana"/>
                <w:sz w:val="22"/>
                <w:szCs w:val="22"/>
              </w:rPr>
              <w:t>PAS1_Medication</w:t>
            </w:r>
          </w:p>
        </w:tc>
        <w:tc>
          <w:tcPr>
            <w:tcW w:w="7088" w:type="dxa"/>
          </w:tcPr>
          <w:p w:rsidR="00E7633E" w:rsidRPr="00FB2040" w:rsidRDefault="00E7633E">
            <w:pPr>
              <w:rPr>
                <w:rFonts w:ascii="Arial" w:hAnsi="Arial"/>
                <w:sz w:val="22"/>
                <w:szCs w:val="22"/>
              </w:rPr>
            </w:pPr>
            <w:r w:rsidRPr="00FB2040">
              <w:rPr>
                <w:rFonts w:ascii="Arial" w:hAnsi="Arial" w:cs="Verdana"/>
                <w:sz w:val="22"/>
                <w:szCs w:val="22"/>
                <w:lang w:bidi="en-US"/>
              </w:rPr>
              <w:t>Identify all prescribed medications at each clinical visit, particularly those that can influence bone density: eg anti-epileptic medications, proton pump inhibitors, progesterone-only medications, vitamin supplements.</w:t>
            </w:r>
          </w:p>
        </w:tc>
      </w:tr>
      <w:tr w:rsidR="00E7633E" w:rsidRPr="00FB2040" w:rsidTr="00FB2040">
        <w:tc>
          <w:tcPr>
            <w:tcW w:w="3119" w:type="dxa"/>
          </w:tcPr>
          <w:p w:rsidR="00E7633E" w:rsidRPr="00FB2040" w:rsidRDefault="00E7633E" w:rsidP="00FB2040">
            <w:pPr>
              <w:rPr>
                <w:rFonts w:ascii="Arial" w:hAnsi="Arial" w:cs="Verdana"/>
                <w:sz w:val="22"/>
                <w:szCs w:val="22"/>
              </w:rPr>
            </w:pPr>
            <w:r w:rsidRPr="00FB2040">
              <w:rPr>
                <w:rFonts w:ascii="Arial" w:hAnsi="Arial" w:cs="Verdana"/>
                <w:sz w:val="22"/>
                <w:szCs w:val="22"/>
              </w:rPr>
              <w:t>PAS1_Tanner</w:t>
            </w:r>
          </w:p>
        </w:tc>
        <w:tc>
          <w:tcPr>
            <w:tcW w:w="7088" w:type="dxa"/>
          </w:tcPr>
          <w:p w:rsidR="00E7633E" w:rsidRPr="00FB2040" w:rsidRDefault="00E7633E">
            <w:pPr>
              <w:rPr>
                <w:rFonts w:ascii="Arial" w:hAnsi="Arial"/>
                <w:sz w:val="22"/>
                <w:szCs w:val="22"/>
              </w:rPr>
            </w:pPr>
            <w:r w:rsidRPr="00FB2040">
              <w:rPr>
                <w:rFonts w:ascii="Arial" w:hAnsi="Arial" w:cs="Verdana"/>
                <w:sz w:val="22"/>
                <w:szCs w:val="22"/>
                <w:lang w:bidi="en-US"/>
              </w:rPr>
              <w:t>Assess pubertal development using Tanner staging.</w:t>
            </w:r>
          </w:p>
        </w:tc>
      </w:tr>
      <w:tr w:rsidR="00E7633E" w:rsidRPr="00FB2040" w:rsidTr="00FB2040">
        <w:tc>
          <w:tcPr>
            <w:tcW w:w="3119" w:type="dxa"/>
          </w:tcPr>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1. PAS1_WalkAssist</w:t>
            </w:r>
          </w:p>
          <w:p w:rsidR="00E7633E" w:rsidRPr="00FB2040" w:rsidRDefault="00E7633E" w:rsidP="00FB2040">
            <w:pPr>
              <w:rPr>
                <w:rFonts w:ascii="Arial" w:hAnsi="Arial" w:cs="Verdana"/>
                <w:sz w:val="22"/>
                <w:szCs w:val="22"/>
              </w:rPr>
            </w:pPr>
            <w:r w:rsidRPr="00FB2040">
              <w:rPr>
                <w:rFonts w:ascii="Arial" w:hAnsi="Arial" w:cs="Verdana"/>
                <w:sz w:val="22"/>
                <w:szCs w:val="22"/>
              </w:rPr>
              <w:t>2. PAS1_WalkTime</w:t>
            </w:r>
          </w:p>
          <w:p w:rsidR="00E7633E" w:rsidRPr="00FB2040" w:rsidRDefault="00E7633E" w:rsidP="00FB2040">
            <w:pPr>
              <w:rPr>
                <w:rFonts w:ascii="Arial" w:hAnsi="Arial" w:cs="Verdana"/>
                <w:sz w:val="22"/>
                <w:szCs w:val="22"/>
              </w:rPr>
            </w:pPr>
            <w:r w:rsidRPr="00FB2040">
              <w:rPr>
                <w:rFonts w:ascii="Arial" w:hAnsi="Arial" w:cs="Verdana"/>
                <w:sz w:val="22"/>
                <w:szCs w:val="22"/>
              </w:rPr>
              <w:t>3. PAS1_Stand</w:t>
            </w:r>
          </w:p>
          <w:p w:rsidR="00E7633E" w:rsidRPr="00FB2040" w:rsidRDefault="00E7633E" w:rsidP="00FB2040">
            <w:pPr>
              <w:rPr>
                <w:rFonts w:ascii="Arial" w:hAnsi="Arial" w:cs="Verdana"/>
                <w:sz w:val="22"/>
                <w:szCs w:val="22"/>
              </w:rPr>
            </w:pPr>
            <w:r w:rsidRPr="00FB2040">
              <w:rPr>
                <w:rFonts w:ascii="Arial" w:hAnsi="Arial" w:cs="Verdana"/>
                <w:sz w:val="22"/>
                <w:szCs w:val="22"/>
              </w:rPr>
              <w:t>4. PAS1_StandTime</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Assess mobility level by asking about the following:</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1. The level of assistance needed for walking.</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2. The time spent walking each day.</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3. The distance walked each day.</w:t>
            </w:r>
          </w:p>
          <w:p w:rsidR="00E7633E" w:rsidRPr="00FB2040" w:rsidRDefault="00E7633E">
            <w:pPr>
              <w:rPr>
                <w:rFonts w:ascii="Arial" w:hAnsi="Arial"/>
                <w:sz w:val="22"/>
                <w:szCs w:val="22"/>
              </w:rPr>
            </w:pPr>
            <w:r w:rsidRPr="00FB2040">
              <w:rPr>
                <w:rFonts w:ascii="Arial" w:hAnsi="Arial" w:cs="Verdana"/>
                <w:sz w:val="22"/>
                <w:szCs w:val="22"/>
                <w:lang w:bidi="en-US"/>
              </w:rPr>
              <w:t>4. The amount of time standing in a standing frame if independent standing is not possible.</w:t>
            </w:r>
          </w:p>
        </w:tc>
      </w:tr>
      <w:tr w:rsidR="00E7633E" w:rsidRPr="00FB2040" w:rsidTr="00FB2040">
        <w:tc>
          <w:tcPr>
            <w:tcW w:w="3119" w:type="dxa"/>
          </w:tcPr>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1. PAS1-24Recall</w:t>
            </w:r>
          </w:p>
          <w:p w:rsidR="00E7633E" w:rsidRPr="00FB2040" w:rsidRDefault="00E7633E" w:rsidP="00FB2040">
            <w:pPr>
              <w:rPr>
                <w:rFonts w:ascii="Arial" w:hAnsi="Arial" w:cs="Verdana"/>
                <w:sz w:val="22"/>
                <w:szCs w:val="22"/>
              </w:rPr>
            </w:pPr>
            <w:r w:rsidRPr="00FB2040">
              <w:rPr>
                <w:rFonts w:ascii="Arial" w:hAnsi="Arial" w:cs="Verdana"/>
                <w:sz w:val="22"/>
                <w:szCs w:val="22"/>
              </w:rPr>
              <w:t>2. PAS1_FoodVitD</w:t>
            </w:r>
          </w:p>
          <w:p w:rsidR="00E7633E" w:rsidRPr="00FB2040" w:rsidRDefault="00E7633E" w:rsidP="00FB2040">
            <w:pPr>
              <w:rPr>
                <w:rFonts w:ascii="Arial" w:hAnsi="Arial" w:cs="Verdana"/>
                <w:sz w:val="22"/>
                <w:szCs w:val="22"/>
              </w:rPr>
            </w:pPr>
            <w:r w:rsidRPr="00FB2040">
              <w:rPr>
                <w:rFonts w:ascii="Arial" w:hAnsi="Arial" w:cs="Verdana"/>
                <w:sz w:val="22"/>
                <w:szCs w:val="22"/>
              </w:rPr>
              <w:t>3. PAS1_FoodCalcium</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Assess dietary intake including:</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1. 24 hour diet recall</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2. Recall of food high in vitamin D.</w:t>
            </w:r>
          </w:p>
          <w:p w:rsidR="00E7633E" w:rsidRPr="00FB2040" w:rsidRDefault="00E7633E">
            <w:pPr>
              <w:rPr>
                <w:rFonts w:ascii="Arial" w:hAnsi="Arial"/>
                <w:sz w:val="22"/>
                <w:szCs w:val="22"/>
              </w:rPr>
            </w:pPr>
            <w:r w:rsidRPr="00FB2040">
              <w:rPr>
                <w:rFonts w:ascii="Arial" w:hAnsi="Arial" w:cs="Verdana"/>
                <w:sz w:val="22"/>
                <w:szCs w:val="22"/>
                <w:lang w:bidi="en-US"/>
              </w:rPr>
              <w:t>3. Recall of food high in calcium.</w:t>
            </w:r>
          </w:p>
        </w:tc>
      </w:tr>
      <w:tr w:rsidR="00E7633E" w:rsidRPr="00FB2040" w:rsidTr="00FB2040">
        <w:tc>
          <w:tcPr>
            <w:tcW w:w="3119" w:type="dxa"/>
          </w:tcPr>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1. PAS1_SunProtect</w:t>
            </w:r>
          </w:p>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2. PAS1_Sunlight</w:t>
            </w:r>
          </w:p>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3. PAS1_SunTime</w:t>
            </w:r>
          </w:p>
          <w:p w:rsidR="00E7633E" w:rsidRPr="00FB2040" w:rsidRDefault="00E7633E" w:rsidP="00FB2040">
            <w:pPr>
              <w:rPr>
                <w:rFonts w:ascii="Arial" w:hAnsi="Arial" w:cs="Verdana"/>
                <w:sz w:val="22"/>
                <w:szCs w:val="22"/>
              </w:rPr>
            </w:pP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Assessment of sunlight exposure by asking about:</w:t>
            </w:r>
          </w:p>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1. Frequency of use of sunscreen and sun-protection factor/protective clothing.</w:t>
            </w:r>
          </w:p>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2. The time of the day when skin (equivalent to face and arms) is exposed to direct sunlight.</w:t>
            </w:r>
          </w:p>
          <w:p w:rsidR="00E7633E" w:rsidRPr="00FB2040" w:rsidRDefault="00E7633E">
            <w:pPr>
              <w:rPr>
                <w:rFonts w:ascii="Arial" w:hAnsi="Arial"/>
                <w:sz w:val="22"/>
                <w:szCs w:val="22"/>
              </w:rPr>
            </w:pPr>
            <w:r w:rsidRPr="00FB2040">
              <w:rPr>
                <w:rFonts w:ascii="Arial" w:hAnsi="Arial" w:cs="Verdana"/>
                <w:sz w:val="22"/>
                <w:szCs w:val="22"/>
                <w:lang w:bidi="en-US"/>
              </w:rPr>
              <w:t>3. Amount of time each day that skin (equivalent to face and arms) is exposed to direct sunlight</w:t>
            </w:r>
          </w:p>
        </w:tc>
      </w:tr>
      <w:tr w:rsidR="00E7633E" w:rsidRPr="00FB2040" w:rsidTr="00FB2040">
        <w:tc>
          <w:tcPr>
            <w:tcW w:w="3119" w:type="dxa"/>
          </w:tcPr>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1. PAS1_BiochemCa</w:t>
            </w:r>
          </w:p>
          <w:p w:rsidR="00E7633E" w:rsidRPr="00FB2040" w:rsidRDefault="00E7633E" w:rsidP="00FB2040">
            <w:pPr>
              <w:rPr>
                <w:rFonts w:ascii="Arial" w:hAnsi="Arial" w:cs="Verdana"/>
                <w:sz w:val="22"/>
                <w:szCs w:val="22"/>
              </w:rPr>
            </w:pPr>
            <w:r w:rsidRPr="00FB2040">
              <w:rPr>
                <w:rFonts w:ascii="Arial" w:hAnsi="Arial" w:cs="Verdana"/>
                <w:sz w:val="22"/>
                <w:szCs w:val="22"/>
              </w:rPr>
              <w:t>2. PAS1_BiochemVitD</w:t>
            </w:r>
          </w:p>
          <w:p w:rsidR="00E7633E" w:rsidRPr="00FB2040" w:rsidRDefault="00E7633E" w:rsidP="00FB2040">
            <w:pPr>
              <w:rPr>
                <w:rFonts w:ascii="Arial" w:hAnsi="Arial" w:cs="Verdana"/>
                <w:sz w:val="22"/>
                <w:szCs w:val="22"/>
              </w:rPr>
            </w:pPr>
            <w:r w:rsidRPr="00FB2040">
              <w:rPr>
                <w:rFonts w:ascii="Arial" w:hAnsi="Arial" w:cs="Verdana"/>
                <w:sz w:val="22"/>
                <w:szCs w:val="22"/>
              </w:rPr>
              <w:t>3. PAS1_BiochemMg</w:t>
            </w:r>
          </w:p>
          <w:p w:rsidR="00E7633E" w:rsidRPr="00FB2040" w:rsidRDefault="00E7633E" w:rsidP="00FB2040">
            <w:pPr>
              <w:rPr>
                <w:rFonts w:ascii="Arial" w:hAnsi="Arial" w:cs="Verdana"/>
                <w:sz w:val="22"/>
                <w:szCs w:val="22"/>
              </w:rPr>
            </w:pPr>
            <w:r w:rsidRPr="00FB2040">
              <w:rPr>
                <w:rFonts w:ascii="Arial" w:hAnsi="Arial" w:cs="Verdana"/>
                <w:sz w:val="22"/>
                <w:szCs w:val="22"/>
              </w:rPr>
              <w:t>4. PAS1_BiochemPhos</w:t>
            </w:r>
          </w:p>
          <w:p w:rsidR="00E7633E" w:rsidRPr="00FB2040" w:rsidRDefault="00E7633E" w:rsidP="00FB2040">
            <w:pPr>
              <w:rPr>
                <w:rFonts w:ascii="Arial" w:hAnsi="Arial" w:cs="Verdana"/>
                <w:sz w:val="22"/>
                <w:szCs w:val="22"/>
              </w:rPr>
            </w:pPr>
            <w:r w:rsidRPr="00FB2040">
              <w:rPr>
                <w:rFonts w:ascii="Arial" w:hAnsi="Arial" w:cs="Verdana"/>
                <w:sz w:val="22"/>
                <w:szCs w:val="22"/>
              </w:rPr>
              <w:t>5. PAS1_BiochemAlk</w:t>
            </w:r>
          </w:p>
          <w:p w:rsidR="00E7633E" w:rsidRPr="00FB2040" w:rsidRDefault="00E7633E" w:rsidP="00FB2040">
            <w:pPr>
              <w:rPr>
                <w:rFonts w:ascii="Arial" w:hAnsi="Arial" w:cs="Verdana"/>
                <w:sz w:val="22"/>
                <w:szCs w:val="22"/>
              </w:rPr>
            </w:pPr>
            <w:r w:rsidRPr="00FB2040">
              <w:rPr>
                <w:rFonts w:ascii="Arial" w:hAnsi="Arial" w:cs="Verdana"/>
                <w:sz w:val="22"/>
                <w:szCs w:val="22"/>
              </w:rPr>
              <w:t>6. PAS1_BiochemPara</w:t>
            </w:r>
          </w:p>
          <w:p w:rsidR="00E7633E" w:rsidRPr="00FB2040" w:rsidRDefault="00E7633E" w:rsidP="00FB2040">
            <w:pPr>
              <w:rPr>
                <w:rFonts w:ascii="Arial" w:hAnsi="Arial" w:cs="Verdana"/>
                <w:sz w:val="22"/>
                <w:szCs w:val="22"/>
              </w:rPr>
            </w:pPr>
            <w:r w:rsidRPr="00FB2040">
              <w:rPr>
                <w:rFonts w:ascii="Arial" w:hAnsi="Arial" w:cs="Verdana"/>
                <w:sz w:val="22"/>
                <w:szCs w:val="22"/>
              </w:rPr>
              <w:t>7. PAS1_BiochemAlb</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First line biochemical investigations include measurement of:</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1. Calcium (ideally also ionised calcium).</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 xml:space="preserve">2. 25 </w:t>
            </w:r>
            <w:proofErr w:type="spellStart"/>
            <w:r w:rsidRPr="00FB2040">
              <w:rPr>
                <w:rFonts w:ascii="Arial" w:hAnsi="Arial" w:cs="Verdana"/>
                <w:sz w:val="22"/>
                <w:szCs w:val="22"/>
                <w:lang w:bidi="en-US"/>
              </w:rPr>
              <w:t>hydroxyvitamin</w:t>
            </w:r>
            <w:proofErr w:type="spellEnd"/>
            <w:r w:rsidRPr="00FB2040">
              <w:rPr>
                <w:rFonts w:ascii="Arial" w:hAnsi="Arial" w:cs="Verdana"/>
                <w:sz w:val="22"/>
                <w:szCs w:val="22"/>
                <w:lang w:bidi="en-US"/>
              </w:rPr>
              <w:t xml:space="preserve"> D</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3. Magnesium.</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 xml:space="preserve">4. </w:t>
            </w:r>
            <w:proofErr w:type="spellStart"/>
            <w:r w:rsidRPr="00FB2040">
              <w:rPr>
                <w:rFonts w:ascii="Arial" w:hAnsi="Arial" w:cs="Verdana"/>
                <w:sz w:val="22"/>
                <w:szCs w:val="22"/>
                <w:lang w:bidi="en-US"/>
              </w:rPr>
              <w:t>Phosporus</w:t>
            </w:r>
            <w:proofErr w:type="spellEnd"/>
            <w:r w:rsidRPr="00FB2040">
              <w:rPr>
                <w:rFonts w:ascii="Arial" w:hAnsi="Arial" w:cs="Verdana"/>
                <w:sz w:val="22"/>
                <w:szCs w:val="22"/>
                <w:lang w:bidi="en-US"/>
              </w:rPr>
              <w:t>.</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5. Alkaline Phosphatase.</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6. Parathyroid hormone.</w:t>
            </w:r>
          </w:p>
          <w:p w:rsidR="00E7633E" w:rsidRPr="00FB2040" w:rsidRDefault="00E7633E">
            <w:pPr>
              <w:rPr>
                <w:rFonts w:ascii="Arial" w:hAnsi="Arial"/>
                <w:sz w:val="22"/>
                <w:szCs w:val="22"/>
              </w:rPr>
            </w:pPr>
            <w:r w:rsidRPr="00FB2040">
              <w:rPr>
                <w:rFonts w:ascii="Arial" w:hAnsi="Arial" w:cs="Verdana"/>
                <w:sz w:val="22"/>
                <w:szCs w:val="22"/>
                <w:lang w:bidi="en-US"/>
              </w:rPr>
              <w:t>7. Albumin.</w:t>
            </w:r>
          </w:p>
        </w:tc>
      </w:tr>
      <w:tr w:rsidR="00E7633E" w:rsidRPr="00FB2040" w:rsidTr="00FB2040">
        <w:tc>
          <w:tcPr>
            <w:tcW w:w="3119" w:type="dxa"/>
          </w:tcPr>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t>1. PAS1_BiochemElectro</w:t>
            </w:r>
          </w:p>
          <w:p w:rsidR="00E7633E" w:rsidRPr="00FB2040" w:rsidRDefault="00E7633E" w:rsidP="00FB2040">
            <w:pPr>
              <w:rPr>
                <w:rFonts w:ascii="Arial" w:hAnsi="Arial" w:cs="Verdana"/>
                <w:sz w:val="22"/>
                <w:szCs w:val="22"/>
              </w:rPr>
            </w:pPr>
            <w:r w:rsidRPr="00FB2040">
              <w:rPr>
                <w:rFonts w:ascii="Arial" w:hAnsi="Arial" w:cs="Verdana"/>
                <w:sz w:val="22"/>
                <w:szCs w:val="22"/>
              </w:rPr>
              <w:t>2. PAS1_BiochemUrine</w:t>
            </w:r>
          </w:p>
          <w:p w:rsidR="00E7633E" w:rsidRPr="00FB2040" w:rsidRDefault="00E7633E" w:rsidP="00FB2040">
            <w:pPr>
              <w:rPr>
                <w:rFonts w:ascii="Arial" w:hAnsi="Arial" w:cs="Verdana"/>
                <w:sz w:val="22"/>
                <w:szCs w:val="22"/>
              </w:rPr>
            </w:pPr>
            <w:r w:rsidRPr="00FB2040">
              <w:rPr>
                <w:rFonts w:ascii="Arial" w:hAnsi="Arial" w:cs="Verdana"/>
                <w:sz w:val="22"/>
                <w:szCs w:val="22"/>
              </w:rPr>
              <w:t>3. PAS1_BiochemMarkers</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Second line biochemical investigations include measurement of:</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1. Electrolytes (ideally also ionised calcium).</w:t>
            </w:r>
          </w:p>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2. Urine calcium/creatinine ratio (ideally also ionised calcium).</w:t>
            </w:r>
          </w:p>
          <w:p w:rsidR="00E7633E" w:rsidRPr="00FB2040" w:rsidRDefault="00E7633E">
            <w:pPr>
              <w:rPr>
                <w:rFonts w:ascii="Arial" w:hAnsi="Arial"/>
                <w:sz w:val="22"/>
                <w:szCs w:val="22"/>
              </w:rPr>
            </w:pPr>
            <w:r w:rsidRPr="00FB2040">
              <w:rPr>
                <w:rFonts w:ascii="Arial" w:hAnsi="Arial" w:cs="Verdana"/>
                <w:sz w:val="22"/>
                <w:szCs w:val="22"/>
                <w:lang w:bidi="en-US"/>
              </w:rPr>
              <w:t>3. Bone turnover markers: N-</w:t>
            </w:r>
            <w:proofErr w:type="spellStart"/>
            <w:r w:rsidRPr="00FB2040">
              <w:rPr>
                <w:rFonts w:ascii="Arial" w:hAnsi="Arial" w:cs="Verdana"/>
                <w:sz w:val="22"/>
                <w:szCs w:val="22"/>
                <w:lang w:bidi="en-US"/>
              </w:rPr>
              <w:t>telopeptide</w:t>
            </w:r>
            <w:proofErr w:type="spellEnd"/>
            <w:r w:rsidRPr="00FB2040">
              <w:rPr>
                <w:rFonts w:ascii="Arial" w:hAnsi="Arial" w:cs="Verdana"/>
                <w:sz w:val="22"/>
                <w:szCs w:val="22"/>
                <w:lang w:bidi="en-US"/>
              </w:rPr>
              <w:t>, collagen cross-links.</w:t>
            </w:r>
          </w:p>
        </w:tc>
      </w:tr>
      <w:tr w:rsidR="00E7633E" w:rsidRPr="00FB2040" w:rsidTr="00FB2040">
        <w:tc>
          <w:tcPr>
            <w:tcW w:w="3119" w:type="dxa"/>
            <w:tcBorders>
              <w:bottom w:val="single" w:sz="4" w:space="0" w:color="auto"/>
            </w:tcBorders>
          </w:tcPr>
          <w:p w:rsidR="00E7633E" w:rsidRPr="00FB2040" w:rsidRDefault="00E7633E" w:rsidP="00FB2040">
            <w:pPr>
              <w:rPr>
                <w:rFonts w:ascii="Arial" w:hAnsi="Arial" w:cs="Verdana"/>
                <w:sz w:val="22"/>
                <w:szCs w:val="22"/>
              </w:rPr>
            </w:pPr>
            <w:r w:rsidRPr="00FB2040">
              <w:rPr>
                <w:rFonts w:ascii="Arial" w:hAnsi="Arial" w:cs="Verdana"/>
                <w:sz w:val="22"/>
                <w:szCs w:val="22"/>
              </w:rPr>
              <w:t>PAS1_Other</w:t>
            </w:r>
          </w:p>
          <w:p w:rsidR="00E7633E" w:rsidRPr="00FB2040" w:rsidRDefault="00E7633E" w:rsidP="00FB2040">
            <w:pPr>
              <w:rPr>
                <w:rFonts w:ascii="Arial" w:hAnsi="Arial" w:cs="Verdana"/>
                <w:sz w:val="22"/>
                <w:szCs w:val="22"/>
              </w:rPr>
            </w:pPr>
          </w:p>
        </w:tc>
        <w:tc>
          <w:tcPr>
            <w:tcW w:w="7088" w:type="dxa"/>
            <w:tcBorders>
              <w:bottom w:val="single" w:sz="4" w:space="0" w:color="auto"/>
            </w:tcBorders>
          </w:tcPr>
          <w:p w:rsidR="00E7633E" w:rsidRPr="00FB2040" w:rsidRDefault="00E7633E">
            <w:pPr>
              <w:rPr>
                <w:rFonts w:ascii="Arial" w:hAnsi="Arial"/>
                <w:sz w:val="22"/>
                <w:szCs w:val="22"/>
              </w:rPr>
            </w:pPr>
            <w:r w:rsidRPr="00FB2040">
              <w:rPr>
                <w:rFonts w:ascii="Arial" w:hAnsi="Arial" w:cs="Verdana"/>
                <w:sz w:val="22"/>
                <w:szCs w:val="22"/>
                <w:lang w:bidi="en-US"/>
              </w:rPr>
              <w:t>Are there any other biochemical investigations that you recommend?</w:t>
            </w:r>
          </w:p>
        </w:tc>
      </w:tr>
      <w:tr w:rsidR="00E7633E" w:rsidRPr="00FB2040" w:rsidTr="00FB2040">
        <w:tc>
          <w:tcPr>
            <w:tcW w:w="3119" w:type="dxa"/>
            <w:shd w:val="clear" w:color="auto" w:fill="FFFF99"/>
          </w:tcPr>
          <w:p w:rsidR="00E7633E" w:rsidRPr="00FB2040" w:rsidRDefault="00E7633E" w:rsidP="00FB2040">
            <w:pPr>
              <w:rPr>
                <w:rFonts w:ascii="Arial" w:hAnsi="Arial"/>
                <w:b/>
                <w:sz w:val="22"/>
                <w:szCs w:val="22"/>
              </w:rPr>
            </w:pPr>
          </w:p>
          <w:p w:rsidR="00E7633E" w:rsidRPr="00FB2040" w:rsidRDefault="00E7633E" w:rsidP="00FB2040">
            <w:pPr>
              <w:rPr>
                <w:rFonts w:ascii="Arial" w:hAnsi="Arial" w:cs="Verdana"/>
                <w:sz w:val="22"/>
                <w:szCs w:val="22"/>
              </w:rPr>
            </w:pPr>
            <w:r w:rsidRPr="00FB2040">
              <w:rPr>
                <w:rFonts w:ascii="Arial" w:hAnsi="Arial"/>
                <w:b/>
                <w:sz w:val="22"/>
                <w:szCs w:val="22"/>
              </w:rPr>
              <w:t>Statement/Question Code</w:t>
            </w:r>
          </w:p>
        </w:tc>
        <w:tc>
          <w:tcPr>
            <w:tcW w:w="7088"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Statements and Questions Round 1, Part A, Section 2 (PAS2)</w:t>
            </w:r>
          </w:p>
          <w:p w:rsidR="00E7633E" w:rsidRPr="00FB2040" w:rsidRDefault="00E7633E">
            <w:pPr>
              <w:rPr>
                <w:rFonts w:ascii="Arial" w:hAnsi="Arial"/>
                <w:b/>
                <w:sz w:val="22"/>
                <w:szCs w:val="22"/>
              </w:rPr>
            </w:pPr>
          </w:p>
        </w:tc>
      </w:tr>
      <w:tr w:rsidR="00E7633E" w:rsidRPr="00FB2040" w:rsidTr="00FB2040">
        <w:tc>
          <w:tcPr>
            <w:tcW w:w="3119" w:type="dxa"/>
          </w:tcPr>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p>
          <w:p w:rsidR="00E7633E" w:rsidRPr="00FB2040" w:rsidRDefault="00E7633E" w:rsidP="00FB2040">
            <w:pPr>
              <w:rPr>
                <w:rFonts w:ascii="Arial" w:hAnsi="Arial" w:cs="Verdana"/>
                <w:sz w:val="22"/>
                <w:szCs w:val="22"/>
              </w:rPr>
            </w:pPr>
            <w:r w:rsidRPr="00FB2040">
              <w:rPr>
                <w:rFonts w:ascii="Arial" w:hAnsi="Arial" w:cs="Verdana"/>
                <w:sz w:val="22"/>
                <w:szCs w:val="22"/>
              </w:rPr>
              <w:lastRenderedPageBreak/>
              <w:t>1. PAS2_Anticonv</w:t>
            </w:r>
          </w:p>
          <w:p w:rsidR="00E7633E" w:rsidRPr="00FB2040" w:rsidRDefault="00E7633E" w:rsidP="00FB2040">
            <w:pPr>
              <w:rPr>
                <w:rFonts w:ascii="Arial" w:hAnsi="Arial" w:cs="Verdana"/>
                <w:sz w:val="22"/>
                <w:szCs w:val="22"/>
              </w:rPr>
            </w:pPr>
            <w:r w:rsidRPr="00FB2040">
              <w:rPr>
                <w:rFonts w:ascii="Arial" w:hAnsi="Arial" w:cs="Verdana"/>
                <w:sz w:val="22"/>
                <w:szCs w:val="22"/>
              </w:rPr>
              <w:t>2. PAS2_WalkIndep</w:t>
            </w:r>
          </w:p>
          <w:p w:rsidR="00E7633E" w:rsidRPr="00FB2040" w:rsidRDefault="00E7633E" w:rsidP="00FB2040">
            <w:pPr>
              <w:rPr>
                <w:rFonts w:ascii="Arial" w:hAnsi="Arial" w:cs="Verdana"/>
                <w:sz w:val="22"/>
                <w:szCs w:val="22"/>
              </w:rPr>
            </w:pPr>
            <w:r w:rsidRPr="00FB2040">
              <w:rPr>
                <w:rFonts w:ascii="Arial" w:hAnsi="Arial" w:cs="Verdana"/>
                <w:sz w:val="22"/>
                <w:szCs w:val="22"/>
              </w:rPr>
              <w:t>3. PAS2_Mutation</w:t>
            </w:r>
          </w:p>
          <w:p w:rsidR="00E7633E" w:rsidRPr="00FB2040" w:rsidRDefault="00E7633E" w:rsidP="00FB2040">
            <w:pPr>
              <w:rPr>
                <w:rFonts w:ascii="Arial" w:hAnsi="Arial" w:cs="Verdana"/>
                <w:sz w:val="22"/>
                <w:szCs w:val="22"/>
              </w:rPr>
            </w:pPr>
            <w:r w:rsidRPr="00FB2040">
              <w:rPr>
                <w:rFonts w:ascii="Arial" w:hAnsi="Arial" w:cs="Verdana"/>
                <w:sz w:val="22"/>
                <w:szCs w:val="22"/>
              </w:rPr>
              <w:t>4. PAS2_Progest</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lastRenderedPageBreak/>
              <w:t>Bone density should be measured in patients who have no history of fracture but have one or more of the following risk factors:</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lastRenderedPageBreak/>
              <w:t>1. Prescribed anticonvulsant medication(s).</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2. Unable to walk independently.</w:t>
            </w:r>
          </w:p>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 xml:space="preserve">3. Either the </w:t>
            </w:r>
            <w:proofErr w:type="gramStart"/>
            <w:r w:rsidRPr="00FB2040">
              <w:rPr>
                <w:rFonts w:ascii="Arial" w:hAnsi="Arial" w:cs="Verdana"/>
                <w:sz w:val="22"/>
                <w:szCs w:val="22"/>
                <w:lang w:bidi="en-US"/>
              </w:rPr>
              <w:t>p.R168X</w:t>
            </w:r>
            <w:proofErr w:type="gramEnd"/>
            <w:r w:rsidRPr="00FB2040">
              <w:rPr>
                <w:rFonts w:ascii="Arial" w:hAnsi="Arial" w:cs="Verdana"/>
                <w:sz w:val="22"/>
                <w:szCs w:val="22"/>
                <w:lang w:bidi="en-US"/>
              </w:rPr>
              <w:t>, p.R255X, p.R270X or p.T158M mutation.</w:t>
            </w:r>
          </w:p>
          <w:p w:rsidR="00E7633E" w:rsidRPr="00FB2040" w:rsidRDefault="00E7633E">
            <w:pPr>
              <w:rPr>
                <w:rFonts w:ascii="Arial" w:hAnsi="Arial" w:cs="Verdana"/>
                <w:sz w:val="22"/>
                <w:szCs w:val="22"/>
                <w:lang w:bidi="en-US"/>
              </w:rPr>
            </w:pPr>
            <w:r w:rsidRPr="00FB2040">
              <w:rPr>
                <w:rFonts w:ascii="Arial" w:hAnsi="Arial" w:cs="Verdana"/>
                <w:sz w:val="22"/>
                <w:szCs w:val="22"/>
                <w:lang w:bidi="en-US"/>
              </w:rPr>
              <w:t>4. Oral or intramuscular progesterone only medication.</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lastRenderedPageBreak/>
              <w:t>PAS2_BMDTime</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If you agree with measuring bone density in patients with risk factors and no history of fracture, after what duration of presence of the risk factor (excluding mutation type), should bone density</w:t>
            </w:r>
          </w:p>
          <w:p w:rsidR="00E7633E" w:rsidRPr="00FB2040" w:rsidRDefault="00E7633E">
            <w:pPr>
              <w:rPr>
                <w:rFonts w:ascii="Arial" w:hAnsi="Arial" w:cs="Verdana"/>
                <w:sz w:val="22"/>
                <w:szCs w:val="22"/>
                <w:lang w:bidi="en-US"/>
              </w:rPr>
            </w:pPr>
            <w:proofErr w:type="gramStart"/>
            <w:r w:rsidRPr="00FB2040">
              <w:rPr>
                <w:rFonts w:ascii="Arial" w:hAnsi="Arial" w:cs="Verdana"/>
                <w:sz w:val="22"/>
                <w:szCs w:val="22"/>
                <w:lang w:bidi="en-US"/>
              </w:rPr>
              <w:t>measurements</w:t>
            </w:r>
            <w:proofErr w:type="gramEnd"/>
            <w:r w:rsidRPr="00FB2040">
              <w:rPr>
                <w:rFonts w:ascii="Arial" w:hAnsi="Arial" w:cs="Verdana"/>
                <w:sz w:val="22"/>
                <w:szCs w:val="22"/>
                <w:lang w:bidi="en-US"/>
              </w:rPr>
              <w:t xml:space="preserve"> commence? For example measure bone density 3 years after taking anticonvulsant medication.</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PAS2_LowZScore</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bone density reported Z scores are -2.0 or worse in those patients with risk factors and no history of fracture, should bone density be reassessed and if so within what timeframe?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PAS2_HighZScore</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bone density reported Z scores are better than -2.0 in those patients with risk factors and no history of fracture, should bone density be reassessed and if so within what timeframe?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PAS2_Fracture</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 xml:space="preserve">Bone density should be measured in patients with a current fracture or a history of fracture (after any methods of external fixation have been removed). For example </w:t>
            </w:r>
            <w:proofErr w:type="spellStart"/>
            <w:r w:rsidRPr="00FB2040">
              <w:rPr>
                <w:rFonts w:ascii="Arial" w:hAnsi="Arial" w:cs="Verdana"/>
                <w:sz w:val="22"/>
                <w:szCs w:val="22"/>
                <w:lang w:bidi="en-US"/>
              </w:rPr>
              <w:t>plastercasting</w:t>
            </w:r>
            <w:proofErr w:type="spellEnd"/>
            <w:r w:rsidRPr="00FB2040">
              <w:rPr>
                <w:rFonts w:ascii="Arial" w:hAnsi="Arial" w:cs="Verdana"/>
                <w:sz w:val="22"/>
                <w:szCs w:val="22"/>
                <w:lang w:bidi="en-US"/>
              </w:rPr>
              <w:t>.</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PAS2_AltBone</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If a long bone was fractured, the bone density should also be measured in the alternate long bone.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PAS2_Vertebrae</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If a vertebra was fractured, the bone density may be measured in adjacent vertebrae excluding measurement of the fractured vertebrae.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PAS2_FracLowZScore</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bone density reported Z scores are better than -2.0 in patients with a current fracture or a history of fracture, should bone density be reassessed and if so within what timeframe?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PAS2_FracHighZScore</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bone density reported Z scores are -2.0 or worse patients with a current fracture or a history of fracture, should bone density be reassessed and if so within what timeframe?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PAS2_NoRisk</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Should bone density be assessed in patients with no risk factors or history of fracture?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PAS2_NoRiskAge</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If you agree that bone density should be assessed in patients with no risk factors or history of fracture, at what age should assessment first commence?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PAS2_NoRiskHighZ</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bone density reported Z scores are better than -2.0 in patients with no risk factors or history of fracture, should it be reassessed and if so within what timeframe, given that no risk factors for osteoporosis develop in the interim?</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PAS2_AnnualCheck</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Clinically assess patients with no risk factors or history of fracture to check the development of risk factors annually.</w:t>
            </w:r>
          </w:p>
        </w:tc>
      </w:tr>
      <w:tr w:rsidR="00E7633E" w:rsidRPr="00FB2040" w:rsidTr="00FB2040">
        <w:tc>
          <w:tcPr>
            <w:tcW w:w="3119" w:type="dxa"/>
            <w:tcBorders>
              <w:bottom w:val="single" w:sz="4" w:space="0" w:color="auto"/>
            </w:tcBorders>
          </w:tcPr>
          <w:p w:rsidR="00E7633E" w:rsidRPr="00FB2040" w:rsidRDefault="00E7633E">
            <w:pPr>
              <w:rPr>
                <w:rFonts w:ascii="Arial" w:hAnsi="Arial"/>
                <w:sz w:val="22"/>
                <w:szCs w:val="22"/>
              </w:rPr>
            </w:pPr>
            <w:r w:rsidRPr="00FB2040">
              <w:rPr>
                <w:rFonts w:ascii="Arial" w:hAnsi="Arial" w:cs="Verdana"/>
                <w:sz w:val="22"/>
                <w:szCs w:val="22"/>
              </w:rPr>
              <w:t>PAS2_AnnualCheckLowZ</w:t>
            </w:r>
          </w:p>
        </w:tc>
        <w:tc>
          <w:tcPr>
            <w:tcW w:w="7088" w:type="dxa"/>
            <w:tcBorders>
              <w:bottom w:val="single" w:sz="4" w:space="0" w:color="auto"/>
            </w:tcBorders>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bone density reported Z scores are -2.0 or worse in patients with no risk factors or history of fracture, should it be reassessed and if so within what timeframe, given that no risk factors for osteoporosis develop in the interim?</w:t>
            </w:r>
          </w:p>
        </w:tc>
      </w:tr>
      <w:tr w:rsidR="00E7633E" w:rsidRPr="00FB2040" w:rsidTr="00FB2040">
        <w:tc>
          <w:tcPr>
            <w:tcW w:w="3119"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Statement/Question Code</w:t>
            </w:r>
          </w:p>
          <w:p w:rsidR="00E7633E" w:rsidRPr="00FB2040" w:rsidRDefault="00E7633E">
            <w:pPr>
              <w:rPr>
                <w:rFonts w:ascii="Arial" w:hAnsi="Arial"/>
                <w:b/>
                <w:sz w:val="22"/>
                <w:szCs w:val="22"/>
              </w:rPr>
            </w:pPr>
          </w:p>
        </w:tc>
        <w:tc>
          <w:tcPr>
            <w:tcW w:w="7088"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Statements and Questions Round 1, Part A, Section 3 (PAS3)</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PAS3_NormData</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 xml:space="preserve">Where local normative data exists, measure the bone mineral composition and areal bone mass density in the total body minus the cranial bones (headless), and the </w:t>
            </w:r>
            <w:proofErr w:type="spellStart"/>
            <w:r w:rsidRPr="00FB2040">
              <w:rPr>
                <w:rFonts w:ascii="Arial" w:hAnsi="Arial" w:cs="Verdana"/>
                <w:sz w:val="22"/>
                <w:szCs w:val="22"/>
                <w:lang w:bidi="en-US"/>
              </w:rPr>
              <w:t>postero</w:t>
            </w:r>
            <w:proofErr w:type="spellEnd"/>
            <w:r w:rsidRPr="00FB2040">
              <w:rPr>
                <w:rFonts w:ascii="Arial" w:hAnsi="Arial" w:cs="Verdana"/>
                <w:sz w:val="22"/>
                <w:szCs w:val="22"/>
                <w:lang w:bidi="en-US"/>
              </w:rPr>
              <w:t>-anterior lumbar spine.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PAS3_Femur</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Total hip and proximal femur bone mineral composition and areal bone mass density measurements are not considered a reliable site for measurement due to difficulties with subject positioning</w:t>
            </w:r>
          </w:p>
        </w:tc>
      </w:tr>
      <w:tr w:rsidR="00E7633E" w:rsidRPr="00FB2040" w:rsidTr="00FB2040">
        <w:tc>
          <w:tcPr>
            <w:tcW w:w="3119" w:type="dxa"/>
          </w:tcPr>
          <w:p w:rsidR="00E7633E" w:rsidRPr="00FB2040" w:rsidRDefault="00E7633E">
            <w:pPr>
              <w:rPr>
                <w:rFonts w:ascii="Arial" w:hAnsi="Arial" w:cs="Verdana"/>
                <w:sz w:val="22"/>
                <w:szCs w:val="22"/>
              </w:rPr>
            </w:pPr>
          </w:p>
          <w:p w:rsidR="00E7633E" w:rsidRPr="00FB2040" w:rsidRDefault="00E7633E">
            <w:pPr>
              <w:rPr>
                <w:rFonts w:ascii="Arial" w:hAnsi="Arial" w:cs="Verdana"/>
                <w:sz w:val="22"/>
                <w:szCs w:val="22"/>
              </w:rPr>
            </w:pPr>
            <w:r w:rsidRPr="00FB2040">
              <w:rPr>
                <w:rFonts w:ascii="Arial" w:hAnsi="Arial" w:cs="Verdana"/>
                <w:sz w:val="22"/>
                <w:szCs w:val="22"/>
              </w:rPr>
              <w:t>1. PAS3_Age</w:t>
            </w:r>
          </w:p>
          <w:p w:rsidR="00E7633E" w:rsidRPr="00FB2040" w:rsidRDefault="00E7633E">
            <w:pPr>
              <w:rPr>
                <w:rFonts w:ascii="Arial" w:hAnsi="Arial" w:cs="Verdana"/>
                <w:sz w:val="22"/>
                <w:szCs w:val="22"/>
              </w:rPr>
            </w:pPr>
            <w:r w:rsidRPr="00FB2040">
              <w:rPr>
                <w:rFonts w:ascii="Arial" w:hAnsi="Arial" w:cs="Verdana"/>
                <w:sz w:val="22"/>
                <w:szCs w:val="22"/>
              </w:rPr>
              <w:t>2. PAS3_Ht</w:t>
            </w:r>
          </w:p>
          <w:p w:rsidR="00E7633E" w:rsidRPr="00FB2040" w:rsidRDefault="00E7633E">
            <w:pPr>
              <w:rPr>
                <w:rFonts w:ascii="Arial" w:hAnsi="Arial"/>
                <w:sz w:val="22"/>
                <w:szCs w:val="22"/>
              </w:rPr>
            </w:pPr>
            <w:r w:rsidRPr="00FB2040">
              <w:rPr>
                <w:rFonts w:ascii="Arial" w:hAnsi="Arial" w:cs="Verdana"/>
                <w:sz w:val="22"/>
                <w:szCs w:val="22"/>
              </w:rPr>
              <w:t>3. PAS3_Wt</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Z scores should be calculated from raw values for the following:</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1. Age.</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2. Height.</w:t>
            </w:r>
          </w:p>
          <w:p w:rsidR="00E7633E" w:rsidRPr="00FB2040" w:rsidRDefault="00E7633E">
            <w:pPr>
              <w:rPr>
                <w:rFonts w:ascii="Arial" w:hAnsi="Arial" w:cs="Verdana"/>
                <w:sz w:val="22"/>
                <w:szCs w:val="22"/>
                <w:lang w:bidi="en-US"/>
              </w:rPr>
            </w:pPr>
            <w:r w:rsidRPr="00FB2040">
              <w:rPr>
                <w:rFonts w:ascii="Arial" w:hAnsi="Arial" w:cs="Verdana"/>
                <w:sz w:val="22"/>
                <w:szCs w:val="22"/>
                <w:lang w:bidi="en-US"/>
              </w:rPr>
              <w:t>3. Weight.</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lastRenderedPageBreak/>
              <w:t>PAS3_BMAD</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Bone mineral apparent density (or volumetric bone mass density) adjustment is also recommended where possible.</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PAS3_SameSite</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The same skeletal sites should be assessed when repeating densitometry measures longitudinally.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PAS3_Rods</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In individuals with spinal rods, the bone mineral composition and areal bone mass density for the femoral neck and the total body minus the cranial bones (headless) should be measured.</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PAS3_ReduceMove</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What strategies would you use to reduce unnecessary movement during the densitometry scan procedure?</w:t>
            </w:r>
          </w:p>
        </w:tc>
      </w:tr>
      <w:tr w:rsidR="00E7633E" w:rsidRPr="00FB2040" w:rsidTr="00FB2040">
        <w:tc>
          <w:tcPr>
            <w:tcW w:w="3119" w:type="dxa"/>
            <w:tcBorders>
              <w:bottom w:val="single" w:sz="4" w:space="0" w:color="auto"/>
            </w:tcBorders>
          </w:tcPr>
          <w:p w:rsidR="00E7633E" w:rsidRPr="00FB2040" w:rsidRDefault="00E7633E">
            <w:pPr>
              <w:rPr>
                <w:rFonts w:ascii="Arial" w:hAnsi="Arial"/>
                <w:sz w:val="22"/>
                <w:szCs w:val="22"/>
              </w:rPr>
            </w:pPr>
            <w:r w:rsidRPr="00FB2040">
              <w:rPr>
                <w:rFonts w:ascii="Arial" w:hAnsi="Arial" w:cs="Verdana"/>
                <w:sz w:val="22"/>
                <w:szCs w:val="22"/>
              </w:rPr>
              <w:t>PAS3_LTM</w:t>
            </w:r>
          </w:p>
        </w:tc>
        <w:tc>
          <w:tcPr>
            <w:tcW w:w="7088" w:type="dxa"/>
            <w:tcBorders>
              <w:bottom w:val="single" w:sz="4" w:space="0" w:color="auto"/>
            </w:tcBorders>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Where possible densitometry measurements of lean tissue mass should be assessed.</w:t>
            </w:r>
          </w:p>
        </w:tc>
      </w:tr>
      <w:tr w:rsidR="00E7633E" w:rsidRPr="00FB2040" w:rsidTr="00FB2040">
        <w:tc>
          <w:tcPr>
            <w:tcW w:w="3119"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Statement/Question Code</w:t>
            </w:r>
          </w:p>
          <w:p w:rsidR="00E7633E" w:rsidRPr="00FB2040" w:rsidRDefault="00E7633E">
            <w:pPr>
              <w:rPr>
                <w:rFonts w:ascii="Arial" w:hAnsi="Arial"/>
                <w:b/>
                <w:sz w:val="22"/>
                <w:szCs w:val="22"/>
              </w:rPr>
            </w:pPr>
          </w:p>
        </w:tc>
        <w:tc>
          <w:tcPr>
            <w:tcW w:w="7088"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Statements and Questions Round 1, Part B, Section 1 (PBS1)</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PBS1_PA</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Increase physical activity in order to increase muscles strength and bone density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PBS1_Physio</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 xml:space="preserve">In order to increase physical </w:t>
            </w:r>
            <w:proofErr w:type="gramStart"/>
            <w:r w:rsidRPr="00FB2040">
              <w:rPr>
                <w:rFonts w:ascii="Arial" w:hAnsi="Arial" w:cs="Verdana"/>
                <w:sz w:val="22"/>
                <w:szCs w:val="22"/>
                <w:lang w:bidi="en-US"/>
              </w:rPr>
              <w:t>activity refer</w:t>
            </w:r>
            <w:proofErr w:type="gramEnd"/>
            <w:r w:rsidRPr="00FB2040">
              <w:rPr>
                <w:rFonts w:ascii="Arial" w:hAnsi="Arial" w:cs="Verdana"/>
                <w:sz w:val="22"/>
                <w:szCs w:val="22"/>
                <w:lang w:bidi="en-US"/>
              </w:rPr>
              <w:t xml:space="preserve"> to a physiotherapist for development of an optimal physical activity plan.</w:t>
            </w:r>
          </w:p>
        </w:tc>
      </w:tr>
      <w:tr w:rsidR="00E7633E" w:rsidRPr="00FB2040" w:rsidTr="00FB2040">
        <w:tc>
          <w:tcPr>
            <w:tcW w:w="3119" w:type="dxa"/>
          </w:tcPr>
          <w:p w:rsidR="00E7633E" w:rsidRPr="00FB2040" w:rsidRDefault="00E7633E">
            <w:pPr>
              <w:rPr>
                <w:rFonts w:ascii="Arial" w:hAnsi="Arial" w:cs="Verdana"/>
                <w:sz w:val="22"/>
                <w:szCs w:val="22"/>
              </w:rPr>
            </w:pPr>
          </w:p>
          <w:p w:rsidR="00E7633E" w:rsidRPr="00FB2040" w:rsidRDefault="00E7633E">
            <w:pPr>
              <w:rPr>
                <w:rFonts w:ascii="Arial" w:hAnsi="Arial" w:cs="Verdana"/>
                <w:sz w:val="22"/>
                <w:szCs w:val="22"/>
              </w:rPr>
            </w:pPr>
            <w:r w:rsidRPr="00FB2040">
              <w:rPr>
                <w:rFonts w:ascii="Arial" w:hAnsi="Arial" w:cs="Verdana"/>
                <w:sz w:val="22"/>
                <w:szCs w:val="22"/>
              </w:rPr>
              <w:t>1. PBS1_Standing</w:t>
            </w:r>
          </w:p>
          <w:p w:rsidR="00E7633E" w:rsidRPr="00FB2040" w:rsidRDefault="00E7633E">
            <w:pPr>
              <w:rPr>
                <w:rFonts w:ascii="Arial" w:hAnsi="Arial"/>
                <w:sz w:val="22"/>
                <w:szCs w:val="22"/>
              </w:rPr>
            </w:pPr>
            <w:r w:rsidRPr="00FB2040">
              <w:rPr>
                <w:rFonts w:ascii="Arial" w:hAnsi="Arial" w:cs="Verdana"/>
                <w:sz w:val="22"/>
                <w:szCs w:val="22"/>
              </w:rPr>
              <w:t>2. PBS1_Frame</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For those who are wheelchair bound, where possible:</w:t>
            </w:r>
          </w:p>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1. Encourage supported standing during transferring.</w:t>
            </w:r>
          </w:p>
          <w:p w:rsidR="00E7633E" w:rsidRPr="00FB2040" w:rsidRDefault="00E7633E">
            <w:pPr>
              <w:rPr>
                <w:rFonts w:ascii="Arial" w:hAnsi="Arial" w:cs="Verdana"/>
                <w:sz w:val="22"/>
                <w:szCs w:val="22"/>
                <w:lang w:bidi="en-US"/>
              </w:rPr>
            </w:pPr>
            <w:r w:rsidRPr="00FB2040">
              <w:rPr>
                <w:rFonts w:ascii="Arial" w:hAnsi="Arial" w:cs="Verdana"/>
                <w:sz w:val="22"/>
                <w:szCs w:val="22"/>
                <w:lang w:bidi="en-US"/>
              </w:rPr>
              <w:t>2. Use a standing frame for at least 30 minutes a day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PBS1_WalkTime</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For those who are able to walk, aim to increase the distance and/or the length of time walked each day (at least 2 hrs per day where possible). Please comment on recommendations you have regarding timeframe.</w:t>
            </w:r>
          </w:p>
        </w:tc>
      </w:tr>
      <w:tr w:rsidR="00E7633E" w:rsidRPr="00FB2040" w:rsidTr="00FB2040">
        <w:tc>
          <w:tcPr>
            <w:tcW w:w="3119" w:type="dxa"/>
          </w:tcPr>
          <w:p w:rsidR="00E7633E" w:rsidRPr="00FB2040" w:rsidRDefault="00E7633E">
            <w:pPr>
              <w:rPr>
                <w:rFonts w:ascii="Arial" w:hAnsi="Arial" w:cs="Verdana"/>
                <w:sz w:val="22"/>
                <w:szCs w:val="22"/>
              </w:rPr>
            </w:pPr>
          </w:p>
          <w:p w:rsidR="00E7633E" w:rsidRPr="00FB2040" w:rsidRDefault="00E7633E">
            <w:pPr>
              <w:rPr>
                <w:rFonts w:ascii="Arial" w:hAnsi="Arial" w:cs="Verdana"/>
                <w:sz w:val="22"/>
                <w:szCs w:val="22"/>
              </w:rPr>
            </w:pPr>
            <w:r w:rsidRPr="00FB2040">
              <w:rPr>
                <w:rFonts w:ascii="Arial" w:hAnsi="Arial" w:cs="Verdana"/>
                <w:sz w:val="22"/>
                <w:szCs w:val="22"/>
              </w:rPr>
              <w:t>1. PBS1_Treadmill</w:t>
            </w:r>
          </w:p>
          <w:p w:rsidR="00E7633E" w:rsidRPr="00FB2040" w:rsidRDefault="00E7633E">
            <w:pPr>
              <w:rPr>
                <w:rFonts w:ascii="Arial" w:hAnsi="Arial"/>
                <w:sz w:val="22"/>
                <w:szCs w:val="22"/>
              </w:rPr>
            </w:pPr>
            <w:r w:rsidRPr="00FB2040">
              <w:rPr>
                <w:rFonts w:ascii="Arial" w:hAnsi="Arial" w:cs="Verdana"/>
                <w:sz w:val="22"/>
                <w:szCs w:val="22"/>
              </w:rPr>
              <w:t>2. PBS1_Vibration</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Where mobility is limited use of the following is recommended:</w:t>
            </w:r>
          </w:p>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1. Body weight supported treadmill.</w:t>
            </w:r>
          </w:p>
          <w:p w:rsidR="00E7633E" w:rsidRPr="00FB2040" w:rsidRDefault="00E7633E">
            <w:pPr>
              <w:rPr>
                <w:rFonts w:ascii="Arial" w:hAnsi="Arial" w:cs="Verdana"/>
                <w:sz w:val="22"/>
                <w:szCs w:val="22"/>
                <w:lang w:bidi="en-US"/>
              </w:rPr>
            </w:pPr>
            <w:r w:rsidRPr="00FB2040">
              <w:rPr>
                <w:rFonts w:ascii="Arial" w:hAnsi="Arial" w:cs="Verdana"/>
                <w:sz w:val="22"/>
                <w:szCs w:val="22"/>
                <w:lang w:bidi="en-US"/>
              </w:rPr>
              <w:t>2. Whole body vibration therapy.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PBS1_Calcium</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If calcium intake is low, increase dietary intake of calcium rich or calcium fortified foods.</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PBS1_CaSupp</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If dietary calcium intake is low and difficult to increase using dietary means, prescribe calcium supplements to meet the local recommended daily intake. The current recommended dietary</w:t>
            </w:r>
          </w:p>
          <w:p w:rsidR="00E7633E" w:rsidRPr="00FB2040" w:rsidRDefault="00E7633E" w:rsidP="00FB2040">
            <w:pPr>
              <w:widowControl w:val="0"/>
              <w:autoSpaceDE w:val="0"/>
              <w:autoSpaceDN w:val="0"/>
              <w:adjustRightInd w:val="0"/>
              <w:rPr>
                <w:rFonts w:ascii="Arial" w:hAnsi="Arial" w:cs="Verdana"/>
                <w:sz w:val="22"/>
                <w:szCs w:val="22"/>
                <w:lang w:bidi="en-US"/>
              </w:rPr>
            </w:pPr>
            <w:proofErr w:type="gramStart"/>
            <w:r w:rsidRPr="00FB2040">
              <w:rPr>
                <w:rFonts w:ascii="Arial" w:hAnsi="Arial" w:cs="Verdana"/>
                <w:sz w:val="22"/>
                <w:szCs w:val="22"/>
                <w:lang w:bidi="en-US"/>
              </w:rPr>
              <w:t>intake</w:t>
            </w:r>
            <w:proofErr w:type="gramEnd"/>
            <w:r w:rsidRPr="00FB2040">
              <w:rPr>
                <w:rFonts w:ascii="Arial" w:hAnsi="Arial" w:cs="Verdana"/>
                <w:sz w:val="22"/>
                <w:szCs w:val="22"/>
                <w:lang w:bidi="en-US"/>
              </w:rPr>
              <w:t xml:space="preserve"> levels within Australia are: 1-3yr 500mg/day, 4-8yr 700mg/day, 9-11yr 1000mg/day,</w:t>
            </w:r>
          </w:p>
          <w:p w:rsidR="00E7633E" w:rsidRPr="00FB2040" w:rsidRDefault="00E7633E">
            <w:pPr>
              <w:rPr>
                <w:rFonts w:ascii="Arial" w:hAnsi="Arial" w:cs="Verdana"/>
                <w:sz w:val="22"/>
                <w:szCs w:val="22"/>
                <w:lang w:bidi="en-US"/>
              </w:rPr>
            </w:pPr>
            <w:r w:rsidRPr="00FB2040">
              <w:rPr>
                <w:rFonts w:ascii="Arial" w:hAnsi="Arial" w:cs="Verdana"/>
                <w:sz w:val="22"/>
                <w:szCs w:val="22"/>
                <w:lang w:bidi="en-US"/>
              </w:rPr>
              <w:t>12-13yr 1300mg/day, 14-18yr 1300mg/day, &gt;18yr 1000mg/day.</w:t>
            </w:r>
          </w:p>
        </w:tc>
      </w:tr>
      <w:tr w:rsidR="00E7633E" w:rsidRPr="00FB2040" w:rsidTr="00FB2040">
        <w:tc>
          <w:tcPr>
            <w:tcW w:w="3119" w:type="dxa"/>
          </w:tcPr>
          <w:p w:rsidR="00E7633E" w:rsidRPr="00FB2040" w:rsidRDefault="00E7633E">
            <w:pPr>
              <w:rPr>
                <w:rFonts w:ascii="Arial" w:hAnsi="Arial" w:cs="Verdana"/>
                <w:sz w:val="22"/>
                <w:szCs w:val="22"/>
              </w:rPr>
            </w:pPr>
          </w:p>
          <w:p w:rsidR="00E7633E" w:rsidRPr="00FB2040" w:rsidRDefault="00E7633E">
            <w:pPr>
              <w:rPr>
                <w:rFonts w:ascii="Arial" w:hAnsi="Arial" w:cs="Verdana"/>
                <w:sz w:val="22"/>
                <w:szCs w:val="22"/>
              </w:rPr>
            </w:pPr>
            <w:r w:rsidRPr="00FB2040">
              <w:rPr>
                <w:rFonts w:ascii="Arial" w:hAnsi="Arial" w:cs="Verdana"/>
                <w:sz w:val="22"/>
                <w:szCs w:val="22"/>
              </w:rPr>
              <w:t>1. PBS1_VitDProtocol</w:t>
            </w:r>
          </w:p>
          <w:p w:rsidR="00E7633E" w:rsidRPr="00FB2040" w:rsidRDefault="00E7633E">
            <w:pPr>
              <w:rPr>
                <w:rFonts w:ascii="Arial" w:hAnsi="Arial"/>
                <w:sz w:val="22"/>
                <w:szCs w:val="22"/>
              </w:rPr>
            </w:pPr>
            <w:r w:rsidRPr="00FB2040">
              <w:rPr>
                <w:rFonts w:ascii="Arial" w:hAnsi="Arial" w:cs="Verdana"/>
                <w:sz w:val="22"/>
                <w:szCs w:val="22"/>
              </w:rPr>
              <w:t>2. PBS1_VitDReassess</w:t>
            </w:r>
          </w:p>
        </w:tc>
        <w:tc>
          <w:tcPr>
            <w:tcW w:w="7088" w:type="dxa"/>
          </w:tcPr>
          <w:p w:rsidR="00E7633E" w:rsidRPr="00FB2040" w:rsidRDefault="00E7633E" w:rsidP="00FB2040">
            <w:pPr>
              <w:rPr>
                <w:rFonts w:ascii="Arial" w:hAnsi="Arial" w:cs="Verdana"/>
                <w:sz w:val="22"/>
                <w:szCs w:val="22"/>
                <w:lang w:bidi="en-US"/>
              </w:rPr>
            </w:pPr>
            <w:r w:rsidRPr="00FB2040">
              <w:rPr>
                <w:rFonts w:ascii="Arial" w:hAnsi="Arial" w:cs="Verdana"/>
                <w:sz w:val="22"/>
                <w:szCs w:val="22"/>
                <w:lang w:bidi="en-US"/>
              </w:rPr>
              <w:t xml:space="preserve">If 25 </w:t>
            </w:r>
            <w:proofErr w:type="spellStart"/>
            <w:r w:rsidRPr="00FB2040">
              <w:rPr>
                <w:rFonts w:ascii="Arial" w:hAnsi="Arial" w:cs="Verdana"/>
                <w:sz w:val="22"/>
                <w:szCs w:val="22"/>
                <w:lang w:bidi="en-US"/>
              </w:rPr>
              <w:t>hydroxyvitamin</w:t>
            </w:r>
            <w:proofErr w:type="spellEnd"/>
            <w:r w:rsidRPr="00FB2040">
              <w:rPr>
                <w:rFonts w:ascii="Arial" w:hAnsi="Arial" w:cs="Verdana"/>
                <w:sz w:val="22"/>
                <w:szCs w:val="22"/>
                <w:lang w:bidi="en-US"/>
              </w:rPr>
              <w:t xml:space="preserve"> D levels are lower than 75nmol/litre (mg/dl):</w:t>
            </w:r>
          </w:p>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1. Use local protocols for treatment and supplementation.</w:t>
            </w:r>
          </w:p>
          <w:p w:rsidR="00E7633E" w:rsidRPr="00FB2040" w:rsidRDefault="00E7633E">
            <w:pPr>
              <w:rPr>
                <w:rFonts w:ascii="Arial" w:hAnsi="Arial" w:cs="Verdana"/>
                <w:sz w:val="22"/>
                <w:szCs w:val="22"/>
                <w:lang w:bidi="en-US"/>
              </w:rPr>
            </w:pPr>
            <w:r w:rsidRPr="00FB2040">
              <w:rPr>
                <w:rFonts w:ascii="Arial" w:hAnsi="Arial" w:cs="Verdana"/>
                <w:sz w:val="22"/>
                <w:szCs w:val="22"/>
                <w:lang w:bidi="en-US"/>
              </w:rPr>
              <w:t xml:space="preserve">2. Re-assess 25 </w:t>
            </w:r>
            <w:proofErr w:type="spellStart"/>
            <w:r w:rsidRPr="00FB2040">
              <w:rPr>
                <w:rFonts w:ascii="Arial" w:hAnsi="Arial" w:cs="Verdana"/>
                <w:sz w:val="22"/>
                <w:szCs w:val="22"/>
                <w:lang w:bidi="en-US"/>
              </w:rPr>
              <w:t>hydroxyvitamin</w:t>
            </w:r>
            <w:proofErr w:type="spellEnd"/>
            <w:r w:rsidRPr="00FB2040">
              <w:rPr>
                <w:rFonts w:ascii="Arial" w:hAnsi="Arial" w:cs="Verdana"/>
                <w:sz w:val="22"/>
                <w:szCs w:val="22"/>
                <w:lang w:bidi="en-US"/>
              </w:rPr>
              <w:t xml:space="preserve"> D levels after 4-8 weeks, then annually.</w:t>
            </w:r>
          </w:p>
        </w:tc>
      </w:tr>
      <w:tr w:rsidR="00E7633E" w:rsidRPr="00FB2040" w:rsidTr="00FB2040">
        <w:tc>
          <w:tcPr>
            <w:tcW w:w="3119" w:type="dxa"/>
            <w:tcBorders>
              <w:bottom w:val="single" w:sz="4" w:space="0" w:color="auto"/>
            </w:tcBorders>
          </w:tcPr>
          <w:p w:rsidR="00E7633E" w:rsidRPr="00FB2040" w:rsidRDefault="00E7633E">
            <w:pPr>
              <w:rPr>
                <w:rFonts w:ascii="Arial" w:hAnsi="Arial"/>
                <w:sz w:val="22"/>
                <w:szCs w:val="22"/>
              </w:rPr>
            </w:pPr>
            <w:r w:rsidRPr="00FB2040">
              <w:rPr>
                <w:rFonts w:ascii="Arial" w:hAnsi="Arial" w:cs="Verdana"/>
                <w:sz w:val="22"/>
                <w:szCs w:val="22"/>
              </w:rPr>
              <w:t>PBS1_Sunlight</w:t>
            </w:r>
          </w:p>
        </w:tc>
        <w:tc>
          <w:tcPr>
            <w:tcW w:w="7088" w:type="dxa"/>
            <w:tcBorders>
              <w:bottom w:val="single" w:sz="4" w:space="0" w:color="auto"/>
            </w:tcBorders>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Advise an appropriate amount of sunlight exposure based on latitude, time of day, season and skin type.</w:t>
            </w:r>
          </w:p>
        </w:tc>
      </w:tr>
      <w:tr w:rsidR="00E7633E" w:rsidRPr="00FB2040" w:rsidTr="00FB2040">
        <w:tc>
          <w:tcPr>
            <w:tcW w:w="3119"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Statement/Question Code</w:t>
            </w:r>
          </w:p>
          <w:p w:rsidR="00E7633E" w:rsidRPr="00FB2040" w:rsidRDefault="00E7633E">
            <w:pPr>
              <w:rPr>
                <w:rFonts w:ascii="Arial" w:hAnsi="Arial"/>
                <w:b/>
                <w:sz w:val="22"/>
                <w:szCs w:val="22"/>
              </w:rPr>
            </w:pPr>
          </w:p>
        </w:tc>
        <w:tc>
          <w:tcPr>
            <w:tcW w:w="7088" w:type="dxa"/>
            <w:shd w:val="clear" w:color="auto" w:fill="FFFF99"/>
          </w:tcPr>
          <w:p w:rsidR="00E7633E" w:rsidRPr="00FB2040" w:rsidRDefault="00E7633E">
            <w:pPr>
              <w:rPr>
                <w:rFonts w:ascii="Arial" w:hAnsi="Arial"/>
                <w:b/>
                <w:sz w:val="22"/>
                <w:szCs w:val="22"/>
              </w:rPr>
            </w:pPr>
          </w:p>
          <w:p w:rsidR="00E7633E" w:rsidRPr="00FB2040" w:rsidRDefault="00E7633E">
            <w:pPr>
              <w:rPr>
                <w:rFonts w:ascii="Arial" w:hAnsi="Arial"/>
                <w:b/>
                <w:sz w:val="22"/>
                <w:szCs w:val="22"/>
              </w:rPr>
            </w:pPr>
            <w:r w:rsidRPr="00FB2040">
              <w:rPr>
                <w:rFonts w:ascii="Arial" w:hAnsi="Arial"/>
                <w:b/>
                <w:sz w:val="22"/>
                <w:szCs w:val="22"/>
              </w:rPr>
              <w:t>Statements and Questions Round 1, Part B, Section 2 (PBS2)</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PBS2_Bisphos</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Bisphosphonates should be used if the International Society for Clinical Densitometry criteria for osteoporosis in children and adolescents are fulfilled.</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PBS2_IVBisphos</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The intravenous dosage of bisphosphonates should follow local protocols.</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PBS2_ReassessBMD</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Reassess bone mineral composition and areal bone mass density one year after Bisphosphonate therapy.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PBS2_ReviewTreat</w:t>
            </w:r>
          </w:p>
        </w:tc>
        <w:tc>
          <w:tcPr>
            <w:tcW w:w="7088" w:type="dxa"/>
          </w:tcPr>
          <w:p w:rsidR="00E7633E" w:rsidRPr="00FB2040" w:rsidRDefault="00E7633E" w:rsidP="00FB2040">
            <w:pPr>
              <w:widowControl w:val="0"/>
              <w:autoSpaceDE w:val="0"/>
              <w:autoSpaceDN w:val="0"/>
              <w:adjustRightInd w:val="0"/>
              <w:rPr>
                <w:rFonts w:ascii="Arial" w:hAnsi="Arial" w:cs="Verdana"/>
                <w:sz w:val="22"/>
                <w:szCs w:val="22"/>
                <w:lang w:bidi="en-US"/>
              </w:rPr>
            </w:pPr>
            <w:r w:rsidRPr="00FB2040">
              <w:rPr>
                <w:rFonts w:ascii="Arial" w:hAnsi="Arial" w:cs="Verdana"/>
                <w:sz w:val="22"/>
                <w:szCs w:val="22"/>
                <w:lang w:bidi="en-US"/>
              </w:rPr>
              <w:t>If reassessment of bone mineral composition and areal bone mass density shows limited response, review the therapeutic approach.</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PBS2_Prog</w:t>
            </w:r>
          </w:p>
        </w:tc>
        <w:tc>
          <w:tcPr>
            <w:tcW w:w="7088" w:type="dxa"/>
          </w:tcPr>
          <w:p w:rsidR="00E7633E" w:rsidRPr="00FB2040" w:rsidRDefault="00E7633E">
            <w:pPr>
              <w:rPr>
                <w:rFonts w:ascii="Arial" w:hAnsi="Arial" w:cs="Verdana"/>
                <w:sz w:val="22"/>
                <w:szCs w:val="22"/>
                <w:lang w:bidi="en-US"/>
              </w:rPr>
            </w:pPr>
            <w:proofErr w:type="spellStart"/>
            <w:r w:rsidRPr="00FB2040">
              <w:rPr>
                <w:rFonts w:ascii="Arial" w:hAnsi="Arial" w:cs="Verdana"/>
                <w:sz w:val="22"/>
                <w:szCs w:val="22"/>
                <w:lang w:bidi="en-US"/>
              </w:rPr>
              <w:t>Levonorgestral</w:t>
            </w:r>
            <w:proofErr w:type="spellEnd"/>
            <w:r w:rsidRPr="00FB2040">
              <w:rPr>
                <w:rFonts w:ascii="Arial" w:hAnsi="Arial" w:cs="Verdana"/>
                <w:sz w:val="22"/>
                <w:szCs w:val="22"/>
                <w:lang w:bidi="en-US"/>
              </w:rPr>
              <w:t xml:space="preserve"> implants or combined oral contraceptives are associated with less adverse impact on bone density compared to </w:t>
            </w:r>
            <w:r w:rsidRPr="00FB2040">
              <w:rPr>
                <w:rFonts w:ascii="Arial" w:hAnsi="Arial" w:cs="Verdana"/>
                <w:sz w:val="22"/>
                <w:szCs w:val="22"/>
                <w:lang w:bidi="en-US"/>
              </w:rPr>
              <w:lastRenderedPageBreak/>
              <w:t>progesterone only medication.</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lastRenderedPageBreak/>
              <w:t>PBS2_LowContra</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 xml:space="preserve">Low dose oral contraceptives (30-40 micrograms </w:t>
            </w:r>
            <w:proofErr w:type="spellStart"/>
            <w:r w:rsidRPr="00FB2040">
              <w:rPr>
                <w:rFonts w:ascii="Arial" w:hAnsi="Arial" w:cs="Verdana"/>
                <w:sz w:val="22"/>
                <w:szCs w:val="22"/>
                <w:lang w:bidi="en-US"/>
              </w:rPr>
              <w:t>ethinyl</w:t>
            </w:r>
            <w:proofErr w:type="spellEnd"/>
            <w:r w:rsidRPr="00FB2040">
              <w:rPr>
                <w:rFonts w:ascii="Arial" w:hAnsi="Arial" w:cs="Verdana"/>
                <w:sz w:val="22"/>
                <w:szCs w:val="22"/>
                <w:lang w:bidi="en-US"/>
              </w:rPr>
              <w:t xml:space="preserve"> estradiol) are protective of bone density.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PBS2_UltraLowContra</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 xml:space="preserve">Ultra-low dose oral contraceptives (20 micrograms </w:t>
            </w:r>
            <w:proofErr w:type="spellStart"/>
            <w:r w:rsidRPr="00FB2040">
              <w:rPr>
                <w:rFonts w:ascii="Arial" w:hAnsi="Arial" w:cs="Verdana"/>
                <w:sz w:val="22"/>
                <w:szCs w:val="22"/>
                <w:lang w:bidi="en-US"/>
              </w:rPr>
              <w:t>ethinyl</w:t>
            </w:r>
            <w:proofErr w:type="spellEnd"/>
            <w:r w:rsidRPr="00FB2040">
              <w:rPr>
                <w:rFonts w:ascii="Arial" w:hAnsi="Arial" w:cs="Verdana"/>
                <w:sz w:val="22"/>
                <w:szCs w:val="22"/>
                <w:lang w:bidi="en-US"/>
              </w:rPr>
              <w:t xml:space="preserve"> estradiol) may negatively impact bone density if started soon after puberty.</w:t>
            </w:r>
          </w:p>
        </w:tc>
      </w:tr>
      <w:tr w:rsidR="00E7633E" w:rsidRPr="00FB2040" w:rsidTr="00FB2040">
        <w:tc>
          <w:tcPr>
            <w:tcW w:w="3119" w:type="dxa"/>
          </w:tcPr>
          <w:p w:rsidR="00E7633E" w:rsidRPr="00FB2040" w:rsidRDefault="00E7633E">
            <w:pPr>
              <w:rPr>
                <w:rFonts w:ascii="Arial" w:hAnsi="Arial"/>
                <w:sz w:val="22"/>
                <w:szCs w:val="22"/>
              </w:rPr>
            </w:pPr>
            <w:r w:rsidRPr="00FB2040">
              <w:rPr>
                <w:rFonts w:ascii="Arial" w:hAnsi="Arial" w:cs="Verdana"/>
                <w:sz w:val="22"/>
                <w:szCs w:val="22"/>
              </w:rPr>
              <w:t>PBS2_Mirena</w:t>
            </w:r>
          </w:p>
        </w:tc>
        <w:tc>
          <w:tcPr>
            <w:tcW w:w="7088" w:type="dxa"/>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 xml:space="preserve">Although </w:t>
            </w:r>
            <w:proofErr w:type="spellStart"/>
            <w:r w:rsidRPr="00FB2040">
              <w:rPr>
                <w:rFonts w:ascii="Arial" w:hAnsi="Arial" w:cs="Verdana"/>
                <w:sz w:val="22"/>
                <w:szCs w:val="22"/>
                <w:lang w:bidi="en-US"/>
              </w:rPr>
              <w:t>Levonorgestrel</w:t>
            </w:r>
            <w:proofErr w:type="spellEnd"/>
            <w:r w:rsidRPr="00FB2040">
              <w:rPr>
                <w:rFonts w:ascii="Arial" w:hAnsi="Arial" w:cs="Verdana"/>
                <w:sz w:val="22"/>
                <w:szCs w:val="22"/>
                <w:lang w:bidi="en-US"/>
              </w:rPr>
              <w:t xml:space="preserve">-releasing intrauterine system (LNG-IUS, </w:t>
            </w:r>
            <w:proofErr w:type="spellStart"/>
            <w:r w:rsidRPr="00FB2040">
              <w:rPr>
                <w:rFonts w:ascii="Arial" w:hAnsi="Arial" w:cs="Verdana"/>
                <w:sz w:val="22"/>
                <w:szCs w:val="22"/>
                <w:lang w:bidi="en-US"/>
              </w:rPr>
              <w:t>Mirena</w:t>
            </w:r>
            <w:proofErr w:type="spellEnd"/>
            <w:r w:rsidRPr="00FB2040">
              <w:rPr>
                <w:rFonts w:ascii="Arial" w:hAnsi="Arial" w:cs="Verdana"/>
                <w:sz w:val="22"/>
                <w:szCs w:val="22"/>
                <w:lang w:bidi="en-US"/>
              </w:rPr>
              <w:t>) does not negatively affect bone density, communication difficulties during insertion need to be considered.</w:t>
            </w:r>
          </w:p>
        </w:tc>
      </w:tr>
      <w:tr w:rsidR="00E7633E" w:rsidRPr="00FB2040" w:rsidTr="00FB2040">
        <w:tc>
          <w:tcPr>
            <w:tcW w:w="3119" w:type="dxa"/>
            <w:tcBorders>
              <w:bottom w:val="single" w:sz="4" w:space="0" w:color="auto"/>
            </w:tcBorders>
          </w:tcPr>
          <w:p w:rsidR="00E7633E" w:rsidRPr="00FB2040" w:rsidRDefault="00E7633E">
            <w:pPr>
              <w:rPr>
                <w:rFonts w:ascii="Arial" w:hAnsi="Arial"/>
                <w:sz w:val="22"/>
                <w:szCs w:val="22"/>
              </w:rPr>
            </w:pPr>
            <w:r w:rsidRPr="00FB2040">
              <w:rPr>
                <w:rFonts w:ascii="Arial" w:hAnsi="Arial" w:cs="Verdana"/>
                <w:sz w:val="22"/>
                <w:szCs w:val="22"/>
              </w:rPr>
              <w:t>PBS2_DMPA</w:t>
            </w:r>
          </w:p>
        </w:tc>
        <w:tc>
          <w:tcPr>
            <w:tcW w:w="7088" w:type="dxa"/>
            <w:tcBorders>
              <w:bottom w:val="single" w:sz="4" w:space="0" w:color="auto"/>
            </w:tcBorders>
          </w:tcPr>
          <w:p w:rsidR="00E7633E" w:rsidRPr="00FB2040" w:rsidRDefault="00E7633E">
            <w:pPr>
              <w:rPr>
                <w:rFonts w:ascii="Arial" w:hAnsi="Arial" w:cs="Verdana"/>
                <w:sz w:val="22"/>
                <w:szCs w:val="22"/>
                <w:lang w:bidi="en-US"/>
              </w:rPr>
            </w:pPr>
            <w:r w:rsidRPr="00FB2040">
              <w:rPr>
                <w:rFonts w:ascii="Arial" w:hAnsi="Arial" w:cs="Verdana"/>
                <w:sz w:val="22"/>
                <w:szCs w:val="22"/>
                <w:lang w:bidi="en-US"/>
              </w:rPr>
              <w:t>Avoid use of Depot medroxyprogesterone acetate (DMPA) as this may increase risk of fracture.</w:t>
            </w:r>
          </w:p>
        </w:tc>
      </w:tr>
      <w:tr w:rsidR="00FB2040" w:rsidRPr="00DA3D3A" w:rsidTr="00FB2040">
        <w:tblPrEx>
          <w:tblLook w:val="04A0" w:firstRow="1" w:lastRow="0" w:firstColumn="1" w:lastColumn="0" w:noHBand="0" w:noVBand="1"/>
        </w:tblPrEx>
        <w:tc>
          <w:tcPr>
            <w:tcW w:w="10207" w:type="dxa"/>
            <w:gridSpan w:val="2"/>
            <w:shd w:val="clear" w:color="auto" w:fill="FFCC99"/>
          </w:tcPr>
          <w:p w:rsidR="00FB2040" w:rsidRDefault="00FB2040" w:rsidP="00FB2040">
            <w:pPr>
              <w:jc w:val="center"/>
              <w:rPr>
                <w:rFonts w:ascii="Arial" w:hAnsi="Arial"/>
                <w:b/>
              </w:rPr>
            </w:pPr>
          </w:p>
          <w:p w:rsidR="00FB2040" w:rsidRDefault="00FB2040" w:rsidP="00FB2040">
            <w:pPr>
              <w:jc w:val="center"/>
              <w:rPr>
                <w:rFonts w:ascii="Arial" w:hAnsi="Arial"/>
                <w:b/>
              </w:rPr>
            </w:pPr>
            <w:r>
              <w:rPr>
                <w:rFonts w:ascii="Arial" w:hAnsi="Arial"/>
                <w:b/>
              </w:rPr>
              <w:t>ROUND 2</w:t>
            </w:r>
          </w:p>
          <w:p w:rsidR="00FB2040" w:rsidRPr="00FB2040" w:rsidRDefault="00FB2040" w:rsidP="00FB2040">
            <w:pPr>
              <w:jc w:val="center"/>
              <w:rPr>
                <w:rFonts w:ascii="Arial" w:hAnsi="Arial"/>
                <w:b/>
              </w:rPr>
            </w:pPr>
          </w:p>
        </w:tc>
      </w:tr>
      <w:tr w:rsidR="00FB2040" w:rsidRPr="00DA3D3A" w:rsidTr="00FB2040">
        <w:tblPrEx>
          <w:tblLook w:val="04A0" w:firstRow="1" w:lastRow="0" w:firstColumn="1" w:lastColumn="0" w:noHBand="0" w:noVBand="1"/>
        </w:tblPrEx>
        <w:tc>
          <w:tcPr>
            <w:tcW w:w="3119" w:type="dxa"/>
            <w:shd w:val="clear" w:color="auto" w:fill="FFFF99"/>
          </w:tcPr>
          <w:p w:rsidR="00FB2040" w:rsidRPr="00DA3D3A" w:rsidRDefault="00FB2040" w:rsidP="00FB2040">
            <w:pPr>
              <w:rPr>
                <w:rFonts w:ascii="Arial" w:hAnsi="Arial"/>
                <w:b/>
                <w:sz w:val="22"/>
              </w:rPr>
            </w:pPr>
          </w:p>
          <w:p w:rsidR="00FB2040" w:rsidRPr="00181B99" w:rsidRDefault="00FB2040" w:rsidP="00FB2040">
            <w:pPr>
              <w:rPr>
                <w:rFonts w:ascii="Arial" w:hAnsi="Arial" w:cs="Verdana"/>
                <w:sz w:val="22"/>
              </w:rPr>
            </w:pPr>
            <w:r w:rsidRPr="00DA3D3A">
              <w:rPr>
                <w:rFonts w:ascii="Arial" w:hAnsi="Arial"/>
                <w:b/>
                <w:sz w:val="22"/>
              </w:rPr>
              <w:t>Statement/Question Code</w:t>
            </w:r>
          </w:p>
        </w:tc>
        <w:tc>
          <w:tcPr>
            <w:tcW w:w="7088" w:type="dxa"/>
            <w:shd w:val="clear" w:color="auto" w:fill="FFFF99"/>
          </w:tcPr>
          <w:p w:rsidR="00FB2040" w:rsidRPr="00DA3D3A" w:rsidRDefault="00FB2040" w:rsidP="00FB2040">
            <w:pPr>
              <w:rPr>
                <w:rFonts w:ascii="Arial" w:hAnsi="Arial"/>
                <w:b/>
                <w:sz w:val="22"/>
              </w:rPr>
            </w:pPr>
          </w:p>
          <w:p w:rsidR="00FB2040" w:rsidRPr="00DA3D3A" w:rsidRDefault="00FB2040" w:rsidP="00FB2040">
            <w:pPr>
              <w:rPr>
                <w:rFonts w:ascii="Arial" w:hAnsi="Arial"/>
                <w:b/>
                <w:sz w:val="22"/>
              </w:rPr>
            </w:pPr>
            <w:r w:rsidRPr="00DA3D3A">
              <w:rPr>
                <w:rFonts w:ascii="Arial" w:hAnsi="Arial"/>
                <w:b/>
                <w:sz w:val="22"/>
              </w:rPr>
              <w:t>Statements and Questions Round 2, Part A, Section 2 (PAS2)</w:t>
            </w:r>
          </w:p>
          <w:p w:rsidR="00FB2040" w:rsidRPr="00DA3D3A" w:rsidRDefault="00FB2040" w:rsidP="00FB2040">
            <w:pPr>
              <w:rPr>
                <w:b/>
                <w:sz w:val="22"/>
              </w:rPr>
            </w:pPr>
          </w:p>
        </w:tc>
      </w:tr>
      <w:tr w:rsidR="00FB2040" w:rsidRPr="00DA3D3A" w:rsidTr="00FB2040">
        <w:tblPrEx>
          <w:tblLook w:val="04A0" w:firstRow="1" w:lastRow="0" w:firstColumn="1" w:lastColumn="0" w:noHBand="0" w:noVBand="1"/>
        </w:tblPrEx>
        <w:tc>
          <w:tcPr>
            <w:tcW w:w="3119" w:type="dxa"/>
          </w:tcPr>
          <w:p w:rsidR="00FB2040" w:rsidRPr="009147F1" w:rsidRDefault="00FB2040" w:rsidP="00FB2040">
            <w:pPr>
              <w:rPr>
                <w:rFonts w:ascii="Arial" w:hAnsi="Arial" w:cs="Verdana"/>
                <w:sz w:val="22"/>
              </w:rPr>
            </w:pPr>
          </w:p>
          <w:p w:rsidR="00FB2040" w:rsidRPr="009147F1" w:rsidRDefault="00FB2040" w:rsidP="00FB2040">
            <w:pPr>
              <w:rPr>
                <w:rFonts w:ascii="Arial" w:hAnsi="Arial" w:cs="Verdana"/>
                <w:sz w:val="22"/>
              </w:rPr>
            </w:pPr>
          </w:p>
          <w:p w:rsidR="00FB2040" w:rsidRPr="009147F1" w:rsidRDefault="00FB2040" w:rsidP="00FB2040">
            <w:pPr>
              <w:rPr>
                <w:rFonts w:ascii="Arial" w:hAnsi="Arial" w:cs="Verdana"/>
                <w:sz w:val="22"/>
              </w:rPr>
            </w:pPr>
            <w:r w:rsidRPr="009147F1">
              <w:rPr>
                <w:rFonts w:ascii="Arial" w:hAnsi="Arial" w:cs="Verdana"/>
                <w:sz w:val="22"/>
              </w:rPr>
              <w:t xml:space="preserve">1. </w:t>
            </w:r>
            <w:r w:rsidRPr="00181B99">
              <w:rPr>
                <w:rFonts w:ascii="Arial" w:hAnsi="Arial" w:cs="Verdana"/>
                <w:sz w:val="22"/>
              </w:rPr>
              <w:t>PAS2_Anticonv</w:t>
            </w:r>
          </w:p>
          <w:p w:rsidR="00FB2040" w:rsidRPr="009147F1" w:rsidRDefault="00FB2040" w:rsidP="00FB2040">
            <w:pPr>
              <w:rPr>
                <w:rFonts w:ascii="Arial" w:hAnsi="Arial" w:cs="Verdana"/>
                <w:sz w:val="22"/>
              </w:rPr>
            </w:pPr>
            <w:r w:rsidRPr="009147F1">
              <w:rPr>
                <w:rFonts w:ascii="Arial" w:hAnsi="Arial" w:cs="Verdana"/>
                <w:sz w:val="22"/>
              </w:rPr>
              <w:t xml:space="preserve">2. </w:t>
            </w:r>
            <w:r w:rsidRPr="00181B99">
              <w:rPr>
                <w:rFonts w:ascii="Arial" w:hAnsi="Arial" w:cs="Verdana"/>
                <w:sz w:val="22"/>
              </w:rPr>
              <w:t>PAS2_Mutation</w:t>
            </w:r>
          </w:p>
          <w:p w:rsidR="00FB2040" w:rsidRPr="009147F1" w:rsidRDefault="00FB2040" w:rsidP="00FB2040">
            <w:pPr>
              <w:rPr>
                <w:rFonts w:ascii="Arial" w:hAnsi="Arial" w:cs="Verdana"/>
                <w:sz w:val="22"/>
              </w:rPr>
            </w:pPr>
            <w:r w:rsidRPr="009147F1">
              <w:rPr>
                <w:rFonts w:ascii="Arial" w:hAnsi="Arial" w:cs="Verdana"/>
                <w:sz w:val="22"/>
              </w:rPr>
              <w:t xml:space="preserve">3. </w:t>
            </w:r>
            <w:r w:rsidRPr="00181B99">
              <w:rPr>
                <w:rFonts w:ascii="Arial" w:hAnsi="Arial" w:cs="Verdana"/>
                <w:sz w:val="22"/>
              </w:rPr>
              <w:t xml:space="preserve">PAS2_Progest </w:t>
            </w:r>
          </w:p>
          <w:p w:rsidR="00FB2040" w:rsidRPr="00181B99" w:rsidRDefault="00FB2040" w:rsidP="00FB2040">
            <w:pPr>
              <w:rPr>
                <w:rFonts w:ascii="Arial" w:hAnsi="Arial" w:cs="Verdana"/>
                <w:sz w:val="22"/>
              </w:rPr>
            </w:pPr>
            <w:r w:rsidRPr="009147F1">
              <w:rPr>
                <w:rFonts w:ascii="Arial" w:hAnsi="Arial" w:cs="Verdana"/>
                <w:sz w:val="22"/>
              </w:rPr>
              <w:t xml:space="preserve">4. </w:t>
            </w:r>
            <w:r w:rsidRPr="00181B99">
              <w:rPr>
                <w:rFonts w:ascii="Arial" w:hAnsi="Arial" w:cs="Verdana"/>
                <w:sz w:val="22"/>
              </w:rPr>
              <w:t>PAS2_WalkIndep</w:t>
            </w:r>
          </w:p>
        </w:tc>
        <w:tc>
          <w:tcPr>
            <w:tcW w:w="7088" w:type="dxa"/>
          </w:tcPr>
          <w:p w:rsidR="00FB2040" w:rsidRPr="00AC35E2" w:rsidRDefault="00FB2040" w:rsidP="00FB2040">
            <w:pPr>
              <w:widowControl w:val="0"/>
              <w:autoSpaceDE w:val="0"/>
              <w:autoSpaceDN w:val="0"/>
              <w:adjustRightInd w:val="0"/>
              <w:rPr>
                <w:rFonts w:ascii="Arial" w:hAnsi="Arial" w:cs="Verdana"/>
                <w:sz w:val="22"/>
                <w:szCs w:val="19"/>
                <w:lang w:bidi="en-US"/>
              </w:rPr>
            </w:pPr>
            <w:r w:rsidRPr="00AC35E2">
              <w:rPr>
                <w:rFonts w:ascii="Arial" w:hAnsi="Arial" w:cs="Verdana"/>
                <w:sz w:val="22"/>
              </w:rPr>
              <w:t>Bone health needs to be considered early on in life and routine risk factors assessed, such as:</w:t>
            </w:r>
          </w:p>
          <w:p w:rsidR="00FB2040" w:rsidRPr="00AC35E2" w:rsidRDefault="00FB2040" w:rsidP="00FB2040">
            <w:pPr>
              <w:rPr>
                <w:rFonts w:ascii="Arial" w:hAnsi="Arial" w:cs="Verdana"/>
                <w:sz w:val="22"/>
                <w:szCs w:val="19"/>
                <w:lang w:bidi="en-US"/>
              </w:rPr>
            </w:pPr>
            <w:r w:rsidRPr="00AC35E2">
              <w:rPr>
                <w:rFonts w:ascii="Arial" w:hAnsi="Arial" w:cs="Verdana"/>
                <w:sz w:val="22"/>
                <w:szCs w:val="19"/>
                <w:lang w:bidi="en-US"/>
              </w:rPr>
              <w:t>1. Prescribed anticonvulsant medication(s).</w:t>
            </w:r>
          </w:p>
          <w:p w:rsidR="00FB2040" w:rsidRPr="00AC35E2" w:rsidRDefault="00FB2040" w:rsidP="00FB2040">
            <w:pPr>
              <w:rPr>
                <w:rFonts w:ascii="Arial" w:hAnsi="Arial" w:cs="Verdana"/>
                <w:sz w:val="22"/>
                <w:szCs w:val="19"/>
                <w:lang w:bidi="en-US"/>
              </w:rPr>
            </w:pPr>
            <w:r w:rsidRPr="00AC35E2">
              <w:rPr>
                <w:rFonts w:ascii="Arial" w:hAnsi="Arial" w:cs="Verdana"/>
                <w:sz w:val="22"/>
                <w:szCs w:val="19"/>
                <w:lang w:bidi="en-US"/>
              </w:rPr>
              <w:t xml:space="preserve">2. Either the </w:t>
            </w:r>
            <w:proofErr w:type="gramStart"/>
            <w:r w:rsidRPr="00AC35E2">
              <w:rPr>
                <w:rFonts w:ascii="Arial" w:hAnsi="Arial" w:cs="Verdana"/>
                <w:sz w:val="22"/>
                <w:szCs w:val="19"/>
                <w:lang w:bidi="en-US"/>
              </w:rPr>
              <w:t>p.R168X</w:t>
            </w:r>
            <w:proofErr w:type="gramEnd"/>
            <w:r w:rsidRPr="00AC35E2">
              <w:rPr>
                <w:rFonts w:ascii="Arial" w:hAnsi="Arial" w:cs="Verdana"/>
                <w:sz w:val="22"/>
                <w:szCs w:val="19"/>
                <w:lang w:bidi="en-US"/>
              </w:rPr>
              <w:t>, p.R255X, p.R270X or p.T158M mutation.</w:t>
            </w:r>
          </w:p>
          <w:p w:rsidR="00FB2040" w:rsidRPr="00AC35E2" w:rsidRDefault="00FB2040" w:rsidP="00FB2040">
            <w:pPr>
              <w:widowControl w:val="0"/>
              <w:autoSpaceDE w:val="0"/>
              <w:autoSpaceDN w:val="0"/>
              <w:adjustRightInd w:val="0"/>
              <w:rPr>
                <w:rFonts w:ascii="Arial" w:hAnsi="Arial" w:cs="Verdana"/>
                <w:sz w:val="22"/>
                <w:szCs w:val="19"/>
                <w:lang w:bidi="en-US"/>
              </w:rPr>
            </w:pPr>
            <w:r w:rsidRPr="00AC35E2">
              <w:rPr>
                <w:rFonts w:ascii="Arial" w:hAnsi="Arial" w:cs="Verdana"/>
                <w:sz w:val="22"/>
                <w:szCs w:val="19"/>
                <w:lang w:bidi="en-US"/>
              </w:rPr>
              <w:t>3. Oral or intramuscular progesterone only medication.</w:t>
            </w:r>
          </w:p>
          <w:p w:rsidR="00FB2040" w:rsidRPr="00AC35E2" w:rsidRDefault="00FB2040" w:rsidP="00FB2040">
            <w:pPr>
              <w:rPr>
                <w:rFonts w:ascii="Arial" w:hAnsi="Arial" w:cs="Verdana"/>
                <w:sz w:val="22"/>
                <w:szCs w:val="19"/>
                <w:lang w:bidi="en-US"/>
              </w:rPr>
            </w:pPr>
            <w:r w:rsidRPr="00AC35E2">
              <w:rPr>
                <w:rFonts w:ascii="Arial" w:hAnsi="Arial" w:cs="Verdana"/>
                <w:sz w:val="22"/>
                <w:szCs w:val="19"/>
                <w:lang w:bidi="en-US"/>
              </w:rPr>
              <w:t>4. Unable to walk independently.</w:t>
            </w:r>
          </w:p>
        </w:tc>
      </w:tr>
      <w:tr w:rsidR="00FB2040" w:rsidRPr="00DA3D3A" w:rsidTr="00FB2040">
        <w:tblPrEx>
          <w:tblLook w:val="04A0" w:firstRow="1" w:lastRow="0" w:firstColumn="1" w:lastColumn="0" w:noHBand="0" w:noVBand="1"/>
        </w:tblPrEx>
        <w:tc>
          <w:tcPr>
            <w:tcW w:w="3119" w:type="dxa"/>
          </w:tcPr>
          <w:p w:rsidR="00FB2040" w:rsidRPr="00DA3D3A" w:rsidRDefault="00FB2040" w:rsidP="00FB2040">
            <w:pPr>
              <w:rPr>
                <w:sz w:val="22"/>
              </w:rPr>
            </w:pPr>
            <w:r w:rsidRPr="00181B99">
              <w:rPr>
                <w:rFonts w:ascii="Arial" w:hAnsi="Arial" w:cs="Verdana"/>
                <w:sz w:val="22"/>
              </w:rPr>
              <w:t>PAS2_Baseline</w:t>
            </w:r>
          </w:p>
        </w:tc>
        <w:tc>
          <w:tcPr>
            <w:tcW w:w="7088" w:type="dxa"/>
          </w:tcPr>
          <w:p w:rsidR="00FB2040" w:rsidRPr="00AC35E2" w:rsidRDefault="00FB2040" w:rsidP="00FB2040">
            <w:pPr>
              <w:rPr>
                <w:rFonts w:ascii="Arial" w:hAnsi="Arial" w:cs="Verdana"/>
                <w:sz w:val="22"/>
                <w:szCs w:val="19"/>
                <w:lang w:bidi="en-US"/>
              </w:rPr>
            </w:pPr>
            <w:r w:rsidRPr="00AC35E2">
              <w:rPr>
                <w:rFonts w:ascii="Arial" w:hAnsi="Arial" w:cs="Verdana"/>
                <w:sz w:val="22"/>
              </w:rPr>
              <w:t>In the presence of risk factors, bone density baseline measurements should be performed.</w:t>
            </w:r>
          </w:p>
        </w:tc>
      </w:tr>
      <w:tr w:rsidR="00FB2040" w:rsidRPr="00DA3D3A" w:rsidTr="00FB2040">
        <w:tblPrEx>
          <w:tblLook w:val="04A0" w:firstRow="1" w:lastRow="0" w:firstColumn="1" w:lastColumn="0" w:noHBand="0" w:noVBand="1"/>
        </w:tblPrEx>
        <w:tc>
          <w:tcPr>
            <w:tcW w:w="3119" w:type="dxa"/>
          </w:tcPr>
          <w:p w:rsidR="00FB2040" w:rsidRPr="00181B99" w:rsidRDefault="00FB2040" w:rsidP="00FB2040">
            <w:pPr>
              <w:rPr>
                <w:rFonts w:ascii="Arial" w:hAnsi="Arial" w:cs="Verdana"/>
                <w:sz w:val="22"/>
              </w:rPr>
            </w:pPr>
          </w:p>
          <w:p w:rsidR="00FB2040" w:rsidRPr="00181B99" w:rsidRDefault="00FB2040" w:rsidP="00FB2040">
            <w:pPr>
              <w:rPr>
                <w:rFonts w:ascii="Arial" w:hAnsi="Arial" w:cs="Verdana"/>
                <w:sz w:val="22"/>
              </w:rPr>
            </w:pPr>
            <w:r w:rsidRPr="00181B99">
              <w:rPr>
                <w:rFonts w:ascii="Arial" w:hAnsi="Arial" w:cs="Verdana"/>
                <w:sz w:val="22"/>
              </w:rPr>
              <w:t>1. PAS2_DXA</w:t>
            </w:r>
          </w:p>
          <w:p w:rsidR="00FB2040" w:rsidRPr="00181B99" w:rsidRDefault="00FB2040" w:rsidP="00FB2040">
            <w:pPr>
              <w:rPr>
                <w:rFonts w:ascii="Arial" w:hAnsi="Arial" w:cs="Verdana"/>
                <w:sz w:val="22"/>
              </w:rPr>
            </w:pPr>
            <w:r w:rsidRPr="00181B99">
              <w:rPr>
                <w:rFonts w:ascii="Arial" w:hAnsi="Arial" w:cs="Verdana"/>
                <w:sz w:val="22"/>
              </w:rPr>
              <w:t>2. PAS2_LateralSpine</w:t>
            </w:r>
          </w:p>
          <w:p w:rsidR="00FB2040" w:rsidRPr="00DA3D3A" w:rsidRDefault="00FB2040" w:rsidP="00FB2040">
            <w:pPr>
              <w:rPr>
                <w:sz w:val="22"/>
              </w:rPr>
            </w:pPr>
            <w:r w:rsidRPr="00181B99">
              <w:rPr>
                <w:rFonts w:ascii="Arial" w:hAnsi="Arial" w:cs="Verdana"/>
                <w:sz w:val="22"/>
              </w:rPr>
              <w:t>3. PAS2_PQCT</w:t>
            </w:r>
          </w:p>
        </w:tc>
        <w:tc>
          <w:tcPr>
            <w:tcW w:w="7088" w:type="dxa"/>
          </w:tcPr>
          <w:p w:rsidR="00FB2040" w:rsidRPr="00AC35E2" w:rsidRDefault="00FB2040" w:rsidP="00FB2040">
            <w:pPr>
              <w:widowControl w:val="0"/>
              <w:autoSpaceDE w:val="0"/>
              <w:autoSpaceDN w:val="0"/>
              <w:adjustRightInd w:val="0"/>
              <w:rPr>
                <w:rFonts w:ascii="Arial" w:hAnsi="Arial" w:cs="Verdana"/>
                <w:sz w:val="22"/>
              </w:rPr>
            </w:pPr>
            <w:r w:rsidRPr="00AC35E2">
              <w:rPr>
                <w:rFonts w:ascii="Arial" w:hAnsi="Arial" w:cs="Verdana"/>
                <w:sz w:val="22"/>
              </w:rPr>
              <w:t>Consider using the following techniques to assess bone health:</w:t>
            </w:r>
          </w:p>
          <w:p w:rsidR="00FB2040" w:rsidRPr="00AC35E2" w:rsidRDefault="00FB2040" w:rsidP="00FB2040">
            <w:pPr>
              <w:widowControl w:val="0"/>
              <w:autoSpaceDE w:val="0"/>
              <w:autoSpaceDN w:val="0"/>
              <w:adjustRightInd w:val="0"/>
              <w:rPr>
                <w:rFonts w:ascii="Arial" w:hAnsi="Arial" w:cs="Verdana"/>
                <w:sz w:val="22"/>
              </w:rPr>
            </w:pPr>
            <w:r w:rsidRPr="00AC35E2">
              <w:rPr>
                <w:rFonts w:ascii="Arial" w:hAnsi="Arial" w:cs="Verdana"/>
                <w:sz w:val="22"/>
              </w:rPr>
              <w:t xml:space="preserve">1. Densitometry </w:t>
            </w:r>
          </w:p>
          <w:p w:rsidR="00FB2040" w:rsidRPr="00AC35E2" w:rsidRDefault="00FB2040" w:rsidP="00FB2040">
            <w:pPr>
              <w:widowControl w:val="0"/>
              <w:autoSpaceDE w:val="0"/>
              <w:autoSpaceDN w:val="0"/>
              <w:adjustRightInd w:val="0"/>
              <w:rPr>
                <w:rFonts w:ascii="Arial" w:hAnsi="Arial" w:cs="Verdana"/>
                <w:sz w:val="22"/>
              </w:rPr>
            </w:pPr>
            <w:r w:rsidRPr="00AC35E2">
              <w:rPr>
                <w:rFonts w:ascii="Arial" w:hAnsi="Arial" w:cs="Verdana"/>
                <w:sz w:val="22"/>
              </w:rPr>
              <w:t xml:space="preserve">2. Peripheral quantitative computed tomography </w:t>
            </w:r>
          </w:p>
          <w:p w:rsidR="00FB2040" w:rsidRPr="00AC35E2" w:rsidRDefault="00FB2040" w:rsidP="00FB2040">
            <w:pPr>
              <w:widowControl w:val="0"/>
              <w:autoSpaceDE w:val="0"/>
              <w:autoSpaceDN w:val="0"/>
              <w:adjustRightInd w:val="0"/>
              <w:rPr>
                <w:rFonts w:ascii="Arial" w:hAnsi="Arial" w:cs="Verdana"/>
                <w:sz w:val="22"/>
                <w:szCs w:val="19"/>
                <w:lang w:bidi="en-US"/>
              </w:rPr>
            </w:pPr>
            <w:r w:rsidRPr="00AC35E2">
              <w:rPr>
                <w:rFonts w:ascii="Arial" w:hAnsi="Arial" w:cs="Verdana"/>
                <w:sz w:val="22"/>
              </w:rPr>
              <w:t>3. Lateral spine X-ray</w:t>
            </w:r>
          </w:p>
        </w:tc>
      </w:tr>
      <w:tr w:rsidR="00FB2040" w:rsidRPr="00DA3D3A" w:rsidTr="00FB2040">
        <w:tblPrEx>
          <w:tblLook w:val="04A0" w:firstRow="1" w:lastRow="0" w:firstColumn="1" w:lastColumn="0" w:noHBand="0" w:noVBand="1"/>
        </w:tblPrEx>
        <w:tc>
          <w:tcPr>
            <w:tcW w:w="3119" w:type="dxa"/>
            <w:tcBorders>
              <w:bottom w:val="single" w:sz="4" w:space="0" w:color="auto"/>
            </w:tcBorders>
          </w:tcPr>
          <w:p w:rsidR="00FB2040" w:rsidRPr="00DA3D3A" w:rsidRDefault="00FB2040" w:rsidP="00FB2040">
            <w:pPr>
              <w:rPr>
                <w:sz w:val="22"/>
              </w:rPr>
            </w:pPr>
            <w:r w:rsidRPr="00181B99">
              <w:rPr>
                <w:rFonts w:ascii="Arial" w:hAnsi="Arial" w:cs="Verdana"/>
                <w:sz w:val="22"/>
              </w:rPr>
              <w:t>PAS2_MonitorBD</w:t>
            </w:r>
          </w:p>
        </w:tc>
        <w:tc>
          <w:tcPr>
            <w:tcW w:w="7088" w:type="dxa"/>
            <w:tcBorders>
              <w:bottom w:val="single" w:sz="4" w:space="0" w:color="auto"/>
            </w:tcBorders>
          </w:tcPr>
          <w:p w:rsidR="00FB2040" w:rsidRPr="00AC35E2" w:rsidRDefault="00FB2040" w:rsidP="00FB2040">
            <w:pPr>
              <w:rPr>
                <w:rFonts w:ascii="Arial" w:hAnsi="Arial" w:cs="Verdana"/>
                <w:sz w:val="22"/>
                <w:szCs w:val="19"/>
                <w:lang w:bidi="en-US"/>
              </w:rPr>
            </w:pPr>
            <w:r w:rsidRPr="00AC35E2">
              <w:rPr>
                <w:rFonts w:ascii="Arial" w:hAnsi="Arial" w:cs="Verdana"/>
                <w:sz w:val="22"/>
              </w:rPr>
              <w:t>Monitor bone density every 1-2 years depending on clinical features.</w:t>
            </w:r>
          </w:p>
        </w:tc>
      </w:tr>
      <w:tr w:rsidR="00FB2040" w:rsidRPr="00DA3D3A" w:rsidTr="00FB2040">
        <w:tblPrEx>
          <w:tblLook w:val="04A0" w:firstRow="1" w:lastRow="0" w:firstColumn="1" w:lastColumn="0" w:noHBand="0" w:noVBand="1"/>
        </w:tblPrEx>
        <w:tc>
          <w:tcPr>
            <w:tcW w:w="3119" w:type="dxa"/>
            <w:shd w:val="clear" w:color="auto" w:fill="FFFF99"/>
          </w:tcPr>
          <w:p w:rsidR="00FB2040" w:rsidRPr="00DA3D3A" w:rsidRDefault="00FB2040" w:rsidP="00FB2040">
            <w:pPr>
              <w:rPr>
                <w:rFonts w:ascii="Arial" w:hAnsi="Arial"/>
                <w:b/>
                <w:sz w:val="22"/>
              </w:rPr>
            </w:pPr>
          </w:p>
          <w:p w:rsidR="00FB2040" w:rsidRPr="00DA3D3A" w:rsidRDefault="00FB2040" w:rsidP="00FB2040">
            <w:pPr>
              <w:rPr>
                <w:rFonts w:ascii="Arial" w:hAnsi="Arial"/>
                <w:b/>
                <w:sz w:val="22"/>
              </w:rPr>
            </w:pPr>
            <w:r w:rsidRPr="00DA3D3A">
              <w:rPr>
                <w:rFonts w:ascii="Arial" w:hAnsi="Arial"/>
                <w:b/>
                <w:sz w:val="22"/>
              </w:rPr>
              <w:t>Statement/Question Code</w:t>
            </w:r>
          </w:p>
          <w:p w:rsidR="00FB2040" w:rsidRPr="00DA3D3A" w:rsidRDefault="00FB2040" w:rsidP="00FB2040">
            <w:pPr>
              <w:rPr>
                <w:b/>
                <w:sz w:val="22"/>
              </w:rPr>
            </w:pPr>
          </w:p>
        </w:tc>
        <w:tc>
          <w:tcPr>
            <w:tcW w:w="7088" w:type="dxa"/>
            <w:shd w:val="clear" w:color="auto" w:fill="FFFF99"/>
          </w:tcPr>
          <w:p w:rsidR="00FB2040" w:rsidRPr="00AC35E2" w:rsidRDefault="00FB2040" w:rsidP="00FB2040">
            <w:pPr>
              <w:rPr>
                <w:rFonts w:ascii="Arial" w:hAnsi="Arial"/>
                <w:b/>
                <w:sz w:val="22"/>
              </w:rPr>
            </w:pPr>
          </w:p>
          <w:p w:rsidR="00FB2040" w:rsidRPr="00AC35E2" w:rsidRDefault="00FB2040" w:rsidP="00FB2040">
            <w:pPr>
              <w:rPr>
                <w:b/>
                <w:sz w:val="22"/>
              </w:rPr>
            </w:pPr>
            <w:r w:rsidRPr="00AC35E2">
              <w:rPr>
                <w:rFonts w:ascii="Arial" w:hAnsi="Arial"/>
                <w:b/>
                <w:sz w:val="22"/>
              </w:rPr>
              <w:t>Statements and Questions Round 2, Part A, Section 3 (PAS3)</w:t>
            </w:r>
          </w:p>
        </w:tc>
      </w:tr>
      <w:tr w:rsidR="00FB2040" w:rsidRPr="00DA3D3A" w:rsidTr="00FB2040">
        <w:tblPrEx>
          <w:tblLook w:val="04A0" w:firstRow="1" w:lastRow="0" w:firstColumn="1" w:lastColumn="0" w:noHBand="0" w:noVBand="1"/>
        </w:tblPrEx>
        <w:tc>
          <w:tcPr>
            <w:tcW w:w="3119" w:type="dxa"/>
          </w:tcPr>
          <w:p w:rsidR="00FB2040" w:rsidRPr="00181B99" w:rsidRDefault="00FB2040" w:rsidP="00FB2040">
            <w:pPr>
              <w:rPr>
                <w:rFonts w:ascii="Arial" w:hAnsi="Arial" w:cs="Verdana"/>
                <w:sz w:val="22"/>
              </w:rPr>
            </w:pPr>
          </w:p>
          <w:p w:rsidR="00FB2040" w:rsidRPr="00181B99" w:rsidRDefault="00FB2040" w:rsidP="00FB2040">
            <w:pPr>
              <w:rPr>
                <w:rFonts w:ascii="Arial" w:hAnsi="Arial" w:cs="Verdana"/>
                <w:sz w:val="22"/>
              </w:rPr>
            </w:pPr>
            <w:r w:rsidRPr="00181B99">
              <w:rPr>
                <w:rFonts w:ascii="Arial" w:hAnsi="Arial" w:cs="Verdana"/>
                <w:sz w:val="22"/>
              </w:rPr>
              <w:t>1. PAS3_Age</w:t>
            </w:r>
          </w:p>
          <w:p w:rsidR="00FB2040" w:rsidRPr="00DA3D3A" w:rsidRDefault="00FB2040" w:rsidP="00FB2040">
            <w:pPr>
              <w:rPr>
                <w:sz w:val="22"/>
              </w:rPr>
            </w:pPr>
            <w:r w:rsidRPr="00181B99">
              <w:rPr>
                <w:rFonts w:ascii="Arial" w:hAnsi="Arial" w:cs="Verdana"/>
                <w:sz w:val="22"/>
              </w:rPr>
              <w:t>2. PAS3_Ht</w:t>
            </w:r>
          </w:p>
        </w:tc>
        <w:tc>
          <w:tcPr>
            <w:tcW w:w="7088" w:type="dxa"/>
          </w:tcPr>
          <w:p w:rsidR="00FB2040" w:rsidRPr="00AC35E2" w:rsidRDefault="00FB2040" w:rsidP="00FB2040">
            <w:pPr>
              <w:rPr>
                <w:rFonts w:ascii="Arial" w:hAnsi="Arial" w:cs="Verdana"/>
                <w:sz w:val="22"/>
                <w:szCs w:val="19"/>
                <w:lang w:bidi="en-US"/>
              </w:rPr>
            </w:pPr>
            <w:r w:rsidRPr="00AC35E2">
              <w:rPr>
                <w:rFonts w:ascii="Arial" w:hAnsi="Arial" w:cs="Verdana"/>
                <w:sz w:val="22"/>
                <w:szCs w:val="19"/>
                <w:lang w:bidi="en-US"/>
              </w:rPr>
              <w:t>Z scores should be calculated from raw values for the following:</w:t>
            </w:r>
          </w:p>
          <w:p w:rsidR="00FB2040" w:rsidRPr="00AC35E2" w:rsidRDefault="00FB2040" w:rsidP="00FB2040">
            <w:pPr>
              <w:rPr>
                <w:rFonts w:ascii="Arial" w:hAnsi="Arial" w:cs="Verdana"/>
                <w:sz w:val="22"/>
                <w:szCs w:val="19"/>
                <w:lang w:bidi="en-US"/>
              </w:rPr>
            </w:pPr>
            <w:r w:rsidRPr="00AC35E2">
              <w:rPr>
                <w:rFonts w:ascii="Arial" w:hAnsi="Arial" w:cs="Verdana"/>
                <w:sz w:val="22"/>
                <w:szCs w:val="19"/>
                <w:lang w:bidi="en-US"/>
              </w:rPr>
              <w:t>1. Age.</w:t>
            </w:r>
          </w:p>
          <w:p w:rsidR="00FB2040" w:rsidRPr="00AC35E2" w:rsidRDefault="00FB2040" w:rsidP="00FB2040">
            <w:pPr>
              <w:rPr>
                <w:rFonts w:ascii="Arial" w:hAnsi="Arial" w:cs="Verdana"/>
                <w:sz w:val="22"/>
                <w:szCs w:val="19"/>
                <w:lang w:bidi="en-US"/>
              </w:rPr>
            </w:pPr>
            <w:r w:rsidRPr="00AC35E2">
              <w:rPr>
                <w:rFonts w:ascii="Arial" w:hAnsi="Arial" w:cs="Verdana"/>
                <w:sz w:val="22"/>
                <w:szCs w:val="19"/>
                <w:lang w:bidi="en-US"/>
              </w:rPr>
              <w:t>2. Height.</w:t>
            </w:r>
          </w:p>
        </w:tc>
      </w:tr>
      <w:tr w:rsidR="00FB2040" w:rsidRPr="00DA3D3A" w:rsidTr="00FB2040">
        <w:tblPrEx>
          <w:tblLook w:val="04A0" w:firstRow="1" w:lastRow="0" w:firstColumn="1" w:lastColumn="0" w:noHBand="0" w:noVBand="1"/>
        </w:tblPrEx>
        <w:tc>
          <w:tcPr>
            <w:tcW w:w="3119" w:type="dxa"/>
            <w:tcBorders>
              <w:bottom w:val="single" w:sz="4" w:space="0" w:color="auto"/>
            </w:tcBorders>
          </w:tcPr>
          <w:p w:rsidR="00FB2040" w:rsidRPr="00DA3D3A" w:rsidRDefault="00FB2040" w:rsidP="00FB2040">
            <w:pPr>
              <w:rPr>
                <w:sz w:val="22"/>
              </w:rPr>
            </w:pPr>
            <w:r w:rsidRPr="00181B99">
              <w:rPr>
                <w:rFonts w:ascii="Arial" w:hAnsi="Arial" w:cs="Verdana"/>
                <w:sz w:val="22"/>
              </w:rPr>
              <w:t>PAS3_ReduceMove</w:t>
            </w:r>
          </w:p>
        </w:tc>
        <w:tc>
          <w:tcPr>
            <w:tcW w:w="7088" w:type="dxa"/>
            <w:tcBorders>
              <w:bottom w:val="single" w:sz="4" w:space="0" w:color="auto"/>
            </w:tcBorders>
          </w:tcPr>
          <w:p w:rsidR="00FB2040" w:rsidRPr="00AC35E2" w:rsidRDefault="00FB2040" w:rsidP="00FB2040">
            <w:pPr>
              <w:widowControl w:val="0"/>
              <w:autoSpaceDE w:val="0"/>
              <w:autoSpaceDN w:val="0"/>
              <w:adjustRightInd w:val="0"/>
              <w:rPr>
                <w:rFonts w:ascii="Arial" w:hAnsi="Arial" w:cs="Verdana"/>
                <w:sz w:val="22"/>
                <w:szCs w:val="19"/>
                <w:lang w:bidi="en-US"/>
              </w:rPr>
            </w:pPr>
            <w:r w:rsidRPr="00AC35E2">
              <w:rPr>
                <w:rFonts w:ascii="Arial" w:hAnsi="Arial" w:cs="Verdana"/>
                <w:sz w:val="22"/>
              </w:rPr>
              <w:t>To reduce unnecessary movement during bone density scan procedures, calming techniques such as music and the presence of careers/parents or sedation may be used.</w:t>
            </w:r>
          </w:p>
        </w:tc>
      </w:tr>
      <w:tr w:rsidR="00FB2040" w:rsidRPr="00DA3D3A" w:rsidTr="00FB2040">
        <w:tblPrEx>
          <w:tblLook w:val="04A0" w:firstRow="1" w:lastRow="0" w:firstColumn="1" w:lastColumn="0" w:noHBand="0" w:noVBand="1"/>
        </w:tblPrEx>
        <w:tc>
          <w:tcPr>
            <w:tcW w:w="3119" w:type="dxa"/>
            <w:shd w:val="clear" w:color="auto" w:fill="FFFF99"/>
          </w:tcPr>
          <w:p w:rsidR="00FB2040" w:rsidRPr="00DA3D3A" w:rsidRDefault="00FB2040" w:rsidP="00FB2040">
            <w:pPr>
              <w:rPr>
                <w:rFonts w:ascii="Arial" w:hAnsi="Arial"/>
                <w:b/>
                <w:sz w:val="22"/>
              </w:rPr>
            </w:pPr>
          </w:p>
          <w:p w:rsidR="00FB2040" w:rsidRPr="00DA3D3A" w:rsidRDefault="00FB2040" w:rsidP="00FB2040">
            <w:pPr>
              <w:rPr>
                <w:rFonts w:ascii="Arial" w:hAnsi="Arial"/>
                <w:b/>
                <w:sz w:val="22"/>
              </w:rPr>
            </w:pPr>
            <w:r w:rsidRPr="00DA3D3A">
              <w:rPr>
                <w:rFonts w:ascii="Arial" w:hAnsi="Arial"/>
                <w:b/>
                <w:sz w:val="22"/>
              </w:rPr>
              <w:t>Statement/Question Code</w:t>
            </w:r>
          </w:p>
          <w:p w:rsidR="00FB2040" w:rsidRPr="00DA3D3A" w:rsidRDefault="00FB2040" w:rsidP="00FB2040">
            <w:pPr>
              <w:rPr>
                <w:b/>
                <w:sz w:val="22"/>
              </w:rPr>
            </w:pPr>
          </w:p>
        </w:tc>
        <w:tc>
          <w:tcPr>
            <w:tcW w:w="7088" w:type="dxa"/>
            <w:shd w:val="clear" w:color="auto" w:fill="FFFF99"/>
          </w:tcPr>
          <w:p w:rsidR="00FB2040" w:rsidRPr="00AC35E2" w:rsidRDefault="00FB2040" w:rsidP="00FB2040">
            <w:pPr>
              <w:rPr>
                <w:rFonts w:ascii="Arial" w:hAnsi="Arial"/>
                <w:b/>
                <w:sz w:val="22"/>
              </w:rPr>
            </w:pPr>
          </w:p>
          <w:p w:rsidR="00FB2040" w:rsidRPr="00AC35E2" w:rsidRDefault="00FB2040" w:rsidP="00FB2040">
            <w:pPr>
              <w:rPr>
                <w:b/>
                <w:sz w:val="22"/>
              </w:rPr>
            </w:pPr>
            <w:r w:rsidRPr="00AC35E2">
              <w:rPr>
                <w:rFonts w:ascii="Arial" w:hAnsi="Arial"/>
                <w:b/>
                <w:sz w:val="22"/>
              </w:rPr>
              <w:t>Statements and Questions Round 2, Part B, Section 1 (PBS1)</w:t>
            </w:r>
          </w:p>
        </w:tc>
      </w:tr>
      <w:tr w:rsidR="00FB2040" w:rsidRPr="00DA3D3A" w:rsidTr="00FB2040">
        <w:tblPrEx>
          <w:tblLook w:val="04A0" w:firstRow="1" w:lastRow="0" w:firstColumn="1" w:lastColumn="0" w:noHBand="0" w:noVBand="1"/>
        </w:tblPrEx>
        <w:tc>
          <w:tcPr>
            <w:tcW w:w="3119" w:type="dxa"/>
            <w:tcBorders>
              <w:bottom w:val="single" w:sz="4" w:space="0" w:color="auto"/>
            </w:tcBorders>
          </w:tcPr>
          <w:p w:rsidR="00FB2040" w:rsidRPr="00DA3D3A" w:rsidRDefault="00FB2040" w:rsidP="00FB2040">
            <w:pPr>
              <w:rPr>
                <w:sz w:val="22"/>
              </w:rPr>
            </w:pPr>
            <w:r w:rsidRPr="00181B99">
              <w:rPr>
                <w:rFonts w:ascii="Arial" w:hAnsi="Arial" w:cs="Verdana"/>
                <w:sz w:val="22"/>
              </w:rPr>
              <w:t>PBS1_TargetExercise</w:t>
            </w:r>
          </w:p>
        </w:tc>
        <w:tc>
          <w:tcPr>
            <w:tcW w:w="7088" w:type="dxa"/>
            <w:tcBorders>
              <w:bottom w:val="single" w:sz="4" w:space="0" w:color="auto"/>
            </w:tcBorders>
          </w:tcPr>
          <w:p w:rsidR="00FB2040" w:rsidRPr="00AC35E2" w:rsidRDefault="00FB2040" w:rsidP="00FB2040">
            <w:pPr>
              <w:rPr>
                <w:rFonts w:ascii="Arial" w:hAnsi="Arial" w:cs="Verdana"/>
                <w:sz w:val="22"/>
                <w:szCs w:val="19"/>
                <w:lang w:bidi="en-US"/>
              </w:rPr>
            </w:pPr>
            <w:r w:rsidRPr="00AC35E2">
              <w:rPr>
                <w:rFonts w:ascii="Arial" w:hAnsi="Arial" w:cs="Verdana"/>
                <w:sz w:val="22"/>
              </w:rPr>
              <w:t xml:space="preserve">Where mobility is limited, targeted </w:t>
            </w:r>
            <w:proofErr w:type="gramStart"/>
            <w:r w:rsidRPr="00AC35E2">
              <w:rPr>
                <w:rFonts w:ascii="Arial" w:hAnsi="Arial" w:cs="Verdana"/>
                <w:sz w:val="22"/>
              </w:rPr>
              <w:t>exercise</w:t>
            </w:r>
            <w:proofErr w:type="gramEnd"/>
            <w:r w:rsidRPr="00AC35E2">
              <w:rPr>
                <w:rFonts w:ascii="Arial" w:hAnsi="Arial" w:cs="Verdana"/>
                <w:sz w:val="22"/>
              </w:rPr>
              <w:t xml:space="preserve"> such as body weight supported treadmill or assisted walking are recommended.</w:t>
            </w:r>
          </w:p>
        </w:tc>
      </w:tr>
      <w:tr w:rsidR="00FB2040" w:rsidRPr="00DA3D3A" w:rsidTr="00FB2040">
        <w:tblPrEx>
          <w:tblLook w:val="04A0" w:firstRow="1" w:lastRow="0" w:firstColumn="1" w:lastColumn="0" w:noHBand="0" w:noVBand="1"/>
        </w:tblPrEx>
        <w:tc>
          <w:tcPr>
            <w:tcW w:w="3119" w:type="dxa"/>
            <w:shd w:val="clear" w:color="auto" w:fill="FFFF99"/>
          </w:tcPr>
          <w:p w:rsidR="00FB2040" w:rsidRPr="00DA3D3A" w:rsidRDefault="00FB2040" w:rsidP="00FB2040">
            <w:pPr>
              <w:rPr>
                <w:rFonts w:ascii="Arial" w:hAnsi="Arial"/>
                <w:b/>
                <w:sz w:val="22"/>
              </w:rPr>
            </w:pPr>
          </w:p>
          <w:p w:rsidR="00FB2040" w:rsidRPr="00DA3D3A" w:rsidRDefault="00FB2040" w:rsidP="00FB2040">
            <w:pPr>
              <w:rPr>
                <w:rFonts w:ascii="Arial" w:hAnsi="Arial"/>
                <w:b/>
                <w:sz w:val="22"/>
              </w:rPr>
            </w:pPr>
            <w:r w:rsidRPr="00DA3D3A">
              <w:rPr>
                <w:rFonts w:ascii="Arial" w:hAnsi="Arial"/>
                <w:b/>
                <w:sz w:val="22"/>
              </w:rPr>
              <w:t>Statement/Question Code</w:t>
            </w:r>
          </w:p>
          <w:p w:rsidR="00FB2040" w:rsidRPr="00DA3D3A" w:rsidRDefault="00FB2040" w:rsidP="00FB2040">
            <w:pPr>
              <w:rPr>
                <w:b/>
                <w:sz w:val="22"/>
              </w:rPr>
            </w:pPr>
          </w:p>
        </w:tc>
        <w:tc>
          <w:tcPr>
            <w:tcW w:w="7088" w:type="dxa"/>
            <w:shd w:val="clear" w:color="auto" w:fill="FFFF99"/>
          </w:tcPr>
          <w:p w:rsidR="00FB2040" w:rsidRPr="00AC35E2" w:rsidRDefault="00FB2040" w:rsidP="00FB2040">
            <w:pPr>
              <w:rPr>
                <w:rFonts w:ascii="Arial" w:hAnsi="Arial"/>
                <w:b/>
                <w:sz w:val="22"/>
              </w:rPr>
            </w:pPr>
          </w:p>
          <w:p w:rsidR="00FB2040" w:rsidRPr="00AC35E2" w:rsidRDefault="00FB2040" w:rsidP="00FB2040">
            <w:pPr>
              <w:rPr>
                <w:b/>
                <w:sz w:val="22"/>
              </w:rPr>
            </w:pPr>
            <w:r w:rsidRPr="00AC35E2">
              <w:rPr>
                <w:rFonts w:ascii="Arial" w:hAnsi="Arial"/>
                <w:b/>
                <w:sz w:val="22"/>
              </w:rPr>
              <w:t>Statements and Questions Round 2, Part B, Section 2 (PBS2)</w:t>
            </w:r>
          </w:p>
        </w:tc>
      </w:tr>
      <w:tr w:rsidR="00FB2040" w:rsidRPr="00DA3D3A" w:rsidTr="00FB2040">
        <w:tblPrEx>
          <w:tblLook w:val="04A0" w:firstRow="1" w:lastRow="0" w:firstColumn="1" w:lastColumn="0" w:noHBand="0" w:noVBand="1"/>
        </w:tblPrEx>
        <w:tc>
          <w:tcPr>
            <w:tcW w:w="3119" w:type="dxa"/>
          </w:tcPr>
          <w:p w:rsidR="00FB2040" w:rsidRPr="00DA3D3A" w:rsidRDefault="00FB2040" w:rsidP="00FB2040">
            <w:pPr>
              <w:rPr>
                <w:sz w:val="22"/>
              </w:rPr>
            </w:pPr>
            <w:r w:rsidRPr="00181B99">
              <w:rPr>
                <w:rFonts w:ascii="Arial" w:hAnsi="Arial" w:cs="Verdana"/>
                <w:sz w:val="22"/>
              </w:rPr>
              <w:t>PBS2_DMPA</w:t>
            </w:r>
          </w:p>
        </w:tc>
        <w:tc>
          <w:tcPr>
            <w:tcW w:w="7088" w:type="dxa"/>
          </w:tcPr>
          <w:p w:rsidR="00FB2040" w:rsidRPr="00AC35E2" w:rsidRDefault="00FB2040" w:rsidP="00FB2040">
            <w:pPr>
              <w:widowControl w:val="0"/>
              <w:autoSpaceDE w:val="0"/>
              <w:autoSpaceDN w:val="0"/>
              <w:adjustRightInd w:val="0"/>
              <w:rPr>
                <w:rFonts w:ascii="Arial" w:hAnsi="Arial" w:cs="Verdana"/>
                <w:sz w:val="22"/>
                <w:szCs w:val="19"/>
                <w:lang w:bidi="en-US"/>
              </w:rPr>
            </w:pPr>
            <w:r w:rsidRPr="00AC35E2">
              <w:rPr>
                <w:rFonts w:ascii="Arial" w:hAnsi="Arial" w:cs="Verdana"/>
                <w:sz w:val="22"/>
              </w:rPr>
              <w:t xml:space="preserve">If hormonal intervention for regulation of the menstrual cycle is needed, use of Depot </w:t>
            </w:r>
            <w:proofErr w:type="spellStart"/>
            <w:r w:rsidRPr="00AC35E2">
              <w:rPr>
                <w:rFonts w:ascii="Arial" w:hAnsi="Arial" w:cs="Verdana"/>
                <w:sz w:val="22"/>
              </w:rPr>
              <w:t>medroxyprogesterone</w:t>
            </w:r>
            <w:proofErr w:type="spellEnd"/>
            <w:r w:rsidRPr="00AC35E2">
              <w:rPr>
                <w:rFonts w:ascii="Arial" w:hAnsi="Arial" w:cs="Verdana"/>
                <w:sz w:val="22"/>
              </w:rPr>
              <w:t xml:space="preserve"> acetate (DMPA) should be avoided.</w:t>
            </w:r>
          </w:p>
        </w:tc>
      </w:tr>
    </w:tbl>
    <w:p w:rsidR="00E7633E" w:rsidRPr="00FB2040" w:rsidRDefault="00E7633E">
      <w:pPr>
        <w:rPr>
          <w:rFonts w:ascii="Arial" w:hAnsi="Arial"/>
          <w:sz w:val="22"/>
          <w:szCs w:val="22"/>
        </w:rPr>
      </w:pPr>
    </w:p>
    <w:p w:rsidR="00E7633E" w:rsidRPr="00FB2040" w:rsidRDefault="00E7633E">
      <w:pPr>
        <w:rPr>
          <w:rFonts w:ascii="Arial" w:hAnsi="Arial"/>
          <w:sz w:val="22"/>
          <w:szCs w:val="22"/>
        </w:rPr>
      </w:pPr>
    </w:p>
    <w:sectPr w:rsidR="00E7633E" w:rsidRPr="00FB2040" w:rsidSect="00F35A61">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975"/>
    <w:multiLevelType w:val="hybridMultilevel"/>
    <w:tmpl w:val="D3BC5A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F6"/>
    <w:rsid w:val="001240F6"/>
    <w:rsid w:val="00DA539C"/>
    <w:rsid w:val="00E7633E"/>
    <w:rsid w:val="00F35A61"/>
    <w:rsid w:val="00FB20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D3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D3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9846</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Statement/Question Code</vt:lpstr>
    </vt:vector>
  </TitlesOfParts>
  <Company>School of Biomedical Sciences, Curtin Univesity</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Statement/Question Code</dc:title>
  <dc:subject/>
  <dc:creator>Amanda Jefferson</dc:creator>
  <cp:keywords/>
  <cp:lastModifiedBy>Health Sciences</cp:lastModifiedBy>
  <cp:revision>2</cp:revision>
  <dcterms:created xsi:type="dcterms:W3CDTF">2016-01-09T03:57:00Z</dcterms:created>
  <dcterms:modified xsi:type="dcterms:W3CDTF">2016-01-09T03:57:00Z</dcterms:modified>
</cp:coreProperties>
</file>